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1948" w14:textId="48A0E1E2" w:rsidR="00AD2CF7" w:rsidRDefault="00D02B60">
      <w:pPr>
        <w:spacing w:after="125" w:line="259" w:lineRule="auto"/>
        <w:ind w:left="0" w:right="54" w:firstLine="0"/>
        <w:jc w:val="center"/>
      </w:pPr>
      <w:r>
        <w:rPr>
          <w:b/>
          <w:sz w:val="26"/>
        </w:rPr>
        <w:t xml:space="preserve">NATIONAL SANCTIONS SECRETARIAT </w:t>
      </w:r>
    </w:p>
    <w:p w14:paraId="459ABE04" w14:textId="77777777" w:rsidR="00AD2CF7" w:rsidRDefault="00D02B60">
      <w:pPr>
        <w:spacing w:after="0" w:line="259" w:lineRule="auto"/>
        <w:ind w:left="10" w:right="57"/>
        <w:jc w:val="center"/>
      </w:pPr>
      <w:r>
        <w:rPr>
          <w:b/>
        </w:rPr>
        <w:t xml:space="preserve">Notice under Section 18(1)(a) of the United Nations (Financial Prohibitions, Arms </w:t>
      </w:r>
    </w:p>
    <w:p w14:paraId="5C7877A4" w14:textId="77777777" w:rsidR="00AD2CF7" w:rsidRDefault="00D02B60">
      <w:pPr>
        <w:spacing w:after="148" w:line="259" w:lineRule="auto"/>
        <w:ind w:left="10" w:right="57"/>
        <w:jc w:val="center"/>
      </w:pPr>
      <w:r>
        <w:rPr>
          <w:b/>
        </w:rPr>
        <w:t xml:space="preserve">Embargo and Travel Ban) Sanctions Act 2019 </w:t>
      </w:r>
    </w:p>
    <w:p w14:paraId="1492C6C4" w14:textId="1546F0B9" w:rsidR="00AD2CF7" w:rsidRDefault="00D02B60">
      <w:pPr>
        <w:pStyle w:val="Heading1"/>
      </w:pPr>
      <w:r>
        <w:t xml:space="preserve">Amendment of </w:t>
      </w:r>
      <w:r w:rsidR="00D63168">
        <w:rPr>
          <w:lang w:val="en-US"/>
        </w:rPr>
        <w:t>Four</w:t>
      </w:r>
      <w:r>
        <w:t xml:space="preserve"> Entries on the ISIL (Da’esh) and Al-Qaida Sanctions List</w:t>
      </w:r>
      <w:r>
        <w:rPr>
          <w:u w:val="none"/>
        </w:rPr>
        <w:t xml:space="preserve"> </w:t>
      </w:r>
    </w:p>
    <w:p w14:paraId="5DE00E2A" w14:textId="77777777" w:rsidR="00AD2CF7" w:rsidRDefault="00D02B60">
      <w:pPr>
        <w:spacing w:after="0" w:line="259" w:lineRule="auto"/>
        <w:ind w:left="429" w:right="0" w:firstLine="0"/>
        <w:jc w:val="center"/>
      </w:pPr>
      <w:r>
        <w:rPr>
          <w:b/>
        </w:rPr>
        <w:t xml:space="preserve"> </w:t>
      </w:r>
    </w:p>
    <w:p w14:paraId="778C4D9A" w14:textId="6385768E" w:rsidR="00AD2CF7" w:rsidRDefault="00D02B60">
      <w:pPr>
        <w:spacing w:after="168"/>
        <w:ind w:left="7" w:right="55"/>
      </w:pPr>
      <w:r>
        <w:t xml:space="preserve">Notice is hereby given that on </w:t>
      </w:r>
      <w:r w:rsidR="006C3D39">
        <w:rPr>
          <w:b/>
          <w:lang w:val="en-US"/>
        </w:rPr>
        <w:t>27 May</w:t>
      </w:r>
      <w:r>
        <w:rPr>
          <w:b/>
        </w:rPr>
        <w:t xml:space="preserve"> 2022</w:t>
      </w:r>
      <w:r>
        <w:t xml:space="preserve">, the United Nations Security Council Committee pursuant to resolutions 1267 (1999), 1989 (2011) and 2253 (2015) concerning </w:t>
      </w:r>
      <w:r>
        <w:rPr>
          <w:b/>
        </w:rPr>
        <w:t xml:space="preserve">ISIL (Da’esh), Al-Qaida </w:t>
      </w:r>
      <w:r>
        <w:t xml:space="preserve">and associated individuals, groups, undertakings and entities enacted </w:t>
      </w:r>
      <w:r>
        <w:rPr>
          <w:b/>
        </w:rPr>
        <w:t xml:space="preserve">the amendments specified with underline and strikethrough </w:t>
      </w:r>
      <w:r>
        <w:t>in the entries below on its</w:t>
      </w:r>
      <w:r>
        <w:rPr>
          <w:b/>
        </w:rPr>
        <w:t xml:space="preserve"> </w:t>
      </w:r>
      <w:r>
        <w:t>ISIL (Da’esh) and Al-Qaida Sanctions List of individuals and entities subject to the assets freeze, travel ban and arms embargo set out in paragraph 1 of Security Council resolution 2</w:t>
      </w:r>
      <w:r w:rsidR="00E5704D">
        <w:rPr>
          <w:lang w:val="en-US"/>
        </w:rPr>
        <w:t>610</w:t>
      </w:r>
      <w:r>
        <w:t xml:space="preserve"> (20</w:t>
      </w:r>
      <w:r w:rsidR="00E5704D">
        <w:rPr>
          <w:lang w:val="en-US"/>
        </w:rPr>
        <w:t>21</w:t>
      </w:r>
      <w:r>
        <w:t xml:space="preserve">), and adopted under Chapter VII of the Charter of the United Nations. </w:t>
      </w:r>
    </w:p>
    <w:p w14:paraId="5D8DB52F" w14:textId="77777777" w:rsidR="00D63168" w:rsidRDefault="00D63168" w:rsidP="00D63168">
      <w:pPr>
        <w:tabs>
          <w:tab w:val="center" w:pos="942"/>
          <w:tab w:val="center" w:pos="2036"/>
        </w:tabs>
        <w:spacing w:line="259" w:lineRule="auto"/>
        <w:ind w:left="0" w:firstLine="0"/>
      </w:pPr>
      <w:r>
        <w:rPr>
          <w:b/>
        </w:rPr>
        <w:t>A.</w:t>
      </w:r>
      <w:r>
        <w:rPr>
          <w:rFonts w:ascii="Arial" w:eastAsia="Arial" w:hAnsi="Arial" w:cs="Arial"/>
          <w:b/>
        </w:rPr>
        <w:t xml:space="preserve"> </w:t>
      </w:r>
      <w:r>
        <w:rPr>
          <w:rFonts w:ascii="Arial" w:eastAsia="Arial" w:hAnsi="Arial" w:cs="Arial"/>
          <w:b/>
        </w:rPr>
        <w:tab/>
      </w:r>
      <w:r>
        <w:rPr>
          <w:b/>
          <w:u w:val="single" w:color="000000"/>
        </w:rPr>
        <w:t>Individuals</w:t>
      </w:r>
      <w:r>
        <w:rPr>
          <w:b/>
        </w:rPr>
        <w:t xml:space="preserve"> </w:t>
      </w:r>
    </w:p>
    <w:p w14:paraId="206CACF5" w14:textId="77777777" w:rsidR="00D63168" w:rsidRDefault="00D63168" w:rsidP="00D63168">
      <w:pPr>
        <w:spacing w:line="259" w:lineRule="auto"/>
        <w:ind w:left="106" w:firstLine="0"/>
      </w:pPr>
      <w:r>
        <w:rPr>
          <w:b/>
        </w:rPr>
        <w:t xml:space="preserve"> </w:t>
      </w:r>
    </w:p>
    <w:p w14:paraId="04340787" w14:textId="77777777" w:rsidR="00D63168" w:rsidRDefault="00D63168" w:rsidP="00D63168">
      <w:pPr>
        <w:ind w:left="110" w:right="621"/>
      </w:pPr>
      <w:r>
        <w:rPr>
          <w:b/>
        </w:rPr>
        <w:t xml:space="preserve">QDi.187 Name: </w:t>
      </w:r>
      <w:r>
        <w:t xml:space="preserve">1: ARIS 2: SUMARSONO 3: na 4: na </w:t>
      </w:r>
    </w:p>
    <w:p w14:paraId="5B117552" w14:textId="77777777" w:rsidR="00D63168" w:rsidRDefault="00D63168" w:rsidP="00D63168">
      <w:pPr>
        <w:ind w:left="110" w:right="621"/>
      </w:pPr>
      <w:r>
        <w:rPr>
          <w:b/>
        </w:rPr>
        <w:t xml:space="preserve">Title: </w:t>
      </w:r>
      <w:r>
        <w:t>na</w:t>
      </w:r>
      <w:r>
        <w:rPr>
          <w:b/>
        </w:rPr>
        <w:t xml:space="preserve"> Designation: </w:t>
      </w:r>
      <w:r>
        <w:t>na</w:t>
      </w:r>
      <w:r>
        <w:rPr>
          <w:b/>
        </w:rPr>
        <w:t xml:space="preserve"> DOB: </w:t>
      </w:r>
      <w:r>
        <w:rPr>
          <w:u w:val="single" w:color="000000"/>
        </w:rPr>
        <w:t>19 April</w:t>
      </w:r>
      <w:r>
        <w:t xml:space="preserve"> 1963</w:t>
      </w:r>
      <w:r>
        <w:rPr>
          <w:b/>
        </w:rPr>
        <w:t xml:space="preserve"> POB: </w:t>
      </w:r>
      <w:r>
        <w:t xml:space="preserve">Gebang village, Masaran, Sragen, Central Java, Indonesia </w:t>
      </w:r>
      <w:r>
        <w:rPr>
          <w:b/>
        </w:rPr>
        <w:t xml:space="preserve"> Good quality a.k.a.: a) </w:t>
      </w:r>
      <w:r>
        <w:t>Zulkarnan</w:t>
      </w:r>
      <w:r>
        <w:rPr>
          <w:b/>
        </w:rPr>
        <w:t xml:space="preserve"> b) </w:t>
      </w:r>
      <w:r>
        <w:t>Zulkarnain</w:t>
      </w:r>
      <w:r>
        <w:rPr>
          <w:b/>
        </w:rPr>
        <w:t xml:space="preserve"> c) </w:t>
      </w:r>
      <w:r>
        <w:t xml:space="preserve">Zulkarnin </w:t>
      </w:r>
      <w:r>
        <w:rPr>
          <w:b/>
        </w:rPr>
        <w:t xml:space="preserve">d) </w:t>
      </w:r>
      <w:r>
        <w:t>Arif Sunarso</w:t>
      </w:r>
      <w:r>
        <w:rPr>
          <w:b/>
        </w:rPr>
        <w:t xml:space="preserve"> e) </w:t>
      </w:r>
      <w:r>
        <w:t>Zulkarnaen</w:t>
      </w:r>
      <w:r>
        <w:rPr>
          <w:b/>
        </w:rPr>
        <w:t xml:space="preserve"> f) </w:t>
      </w:r>
      <w:r>
        <w:t>Aris Sunarso</w:t>
      </w:r>
      <w:r>
        <w:rPr>
          <w:b/>
        </w:rPr>
        <w:t xml:space="preserve"> g) </w:t>
      </w:r>
      <w:r>
        <w:t>Ustad Daud Zulkarnaen</w:t>
      </w:r>
      <w:r>
        <w:rPr>
          <w:b/>
        </w:rPr>
        <w:t xml:space="preserve"> Low quality </w:t>
      </w:r>
    </w:p>
    <w:p w14:paraId="08CE7E74" w14:textId="4B1C6DD9" w:rsidR="00D63168" w:rsidRDefault="00D63168" w:rsidP="0086484F">
      <w:pPr>
        <w:spacing w:line="252" w:lineRule="auto"/>
        <w:ind w:left="101" w:right="647"/>
      </w:pPr>
      <w:r>
        <w:rPr>
          <w:b/>
        </w:rPr>
        <w:t xml:space="preserve">a.k.a.: </w:t>
      </w:r>
      <w:r>
        <w:rPr>
          <w:b/>
          <w:u w:val="single" w:color="000000"/>
        </w:rPr>
        <w:t>a)</w:t>
      </w:r>
      <w:r>
        <w:rPr>
          <w:b/>
        </w:rPr>
        <w:t xml:space="preserve"> </w:t>
      </w:r>
      <w:r>
        <w:t>Murshid</w:t>
      </w:r>
      <w:r>
        <w:rPr>
          <w:b/>
        </w:rPr>
        <w:t xml:space="preserve"> </w:t>
      </w:r>
      <w:r>
        <w:rPr>
          <w:b/>
          <w:u w:val="single" w:color="000000"/>
        </w:rPr>
        <w:t>b)</w:t>
      </w:r>
      <w:r>
        <w:rPr>
          <w:u w:val="single" w:color="000000"/>
        </w:rPr>
        <w:t xml:space="preserve"> Daud  </w:t>
      </w:r>
      <w:r>
        <w:rPr>
          <w:b/>
          <w:u w:val="single" w:color="000000"/>
        </w:rPr>
        <w:t>c)</w:t>
      </w:r>
      <w:r>
        <w:rPr>
          <w:u w:val="single" w:color="000000"/>
        </w:rPr>
        <w:t xml:space="preserve"> Pak Ud  </w:t>
      </w:r>
      <w:r>
        <w:rPr>
          <w:b/>
          <w:u w:val="single" w:color="000000"/>
        </w:rPr>
        <w:t>d)</w:t>
      </w:r>
      <w:r>
        <w:rPr>
          <w:u w:val="single" w:color="000000"/>
        </w:rPr>
        <w:t xml:space="preserve"> Mbah Zul </w:t>
      </w:r>
      <w:r>
        <w:rPr>
          <w:b/>
          <w:u w:val="single" w:color="000000"/>
        </w:rPr>
        <w:t>e)</w:t>
      </w:r>
      <w:r>
        <w:rPr>
          <w:u w:val="single" w:color="000000"/>
        </w:rPr>
        <w:t xml:space="preserve"> Zainal Arifin</w:t>
      </w:r>
      <w:r>
        <w:rPr>
          <w:b/>
        </w:rPr>
        <w:t xml:space="preserve"> f)</w:t>
      </w:r>
      <w:r>
        <w:rPr>
          <w:u w:val="single" w:color="000000"/>
        </w:rPr>
        <w:t xml:space="preserve"> Zul  </w:t>
      </w:r>
      <w:r>
        <w:rPr>
          <w:b/>
          <w:u w:val="single" w:color="000000"/>
        </w:rPr>
        <w:t>g)</w:t>
      </w:r>
      <w:r>
        <w:rPr>
          <w:u w:val="single" w:color="000000"/>
        </w:rPr>
        <w:t xml:space="preserve"> Abdullah</w:t>
      </w:r>
      <w:r>
        <w:t xml:space="preserve"> </w:t>
      </w:r>
      <w:r>
        <w:rPr>
          <w:u w:val="single" w:color="000000"/>
        </w:rPr>
        <w:t>Abdurrahman</w:t>
      </w:r>
      <w:r>
        <w:rPr>
          <w:b/>
        </w:rPr>
        <w:t xml:space="preserve"> h)</w:t>
      </w:r>
      <w:r>
        <w:rPr>
          <w:u w:val="single" w:color="000000"/>
        </w:rPr>
        <w:t xml:space="preserve"> Abdul</w:t>
      </w:r>
      <w:r>
        <w:rPr>
          <w:b/>
        </w:rPr>
        <w:t xml:space="preserve"> i) </w:t>
      </w:r>
      <w:r>
        <w:rPr>
          <w:u w:val="single" w:color="000000"/>
        </w:rPr>
        <w:t>Abdurrahman</w:t>
      </w:r>
      <w:r>
        <w:rPr>
          <w:b/>
        </w:rPr>
        <w:t xml:space="preserve"> Nationality: </w:t>
      </w:r>
      <w:r>
        <w:t>Indonesia</w:t>
      </w:r>
      <w:r>
        <w:rPr>
          <w:b/>
        </w:rPr>
        <w:t xml:space="preserve"> Passport no: </w:t>
      </w:r>
      <w:r>
        <w:t xml:space="preserve">na </w:t>
      </w:r>
      <w:r>
        <w:rPr>
          <w:b/>
        </w:rPr>
        <w:t xml:space="preserve">National identification no: </w:t>
      </w:r>
      <w:r>
        <w:t>na</w:t>
      </w:r>
      <w:r>
        <w:rPr>
          <w:b/>
        </w:rPr>
        <w:t xml:space="preserve"> Address: </w:t>
      </w:r>
      <w:r>
        <w:rPr>
          <w:strike/>
        </w:rPr>
        <w:t>na</w:t>
      </w:r>
      <w:r>
        <w:rPr>
          <w:b/>
        </w:rPr>
        <w:t xml:space="preserve"> </w:t>
      </w:r>
      <w:r>
        <w:rPr>
          <w:b/>
          <w:u w:val="single" w:color="000000"/>
        </w:rPr>
        <w:t>a)</w:t>
      </w:r>
      <w:r>
        <w:rPr>
          <w:u w:val="single" w:color="000000"/>
        </w:rPr>
        <w:t xml:space="preserve"> Desa Gebang, Kecamatan Masaran,</w:t>
      </w:r>
      <w:r>
        <w:t xml:space="preserve"> </w:t>
      </w:r>
      <w:r>
        <w:rPr>
          <w:u w:val="single" w:color="000000"/>
        </w:rPr>
        <w:t xml:space="preserve">Kabupaten Sragen, Jawa Tengah, Indonesia  </w:t>
      </w:r>
      <w:r>
        <w:rPr>
          <w:b/>
          <w:u w:val="single" w:color="000000"/>
        </w:rPr>
        <w:t>b</w:t>
      </w:r>
      <w:r>
        <w:rPr>
          <w:u w:val="single" w:color="000000"/>
        </w:rPr>
        <w:t>) Desa Taman Fajar, Kecamatan</w:t>
      </w:r>
      <w:r>
        <w:t xml:space="preserve"> </w:t>
      </w:r>
      <w:r>
        <w:rPr>
          <w:u w:val="single" w:color="000000"/>
        </w:rPr>
        <w:t>Probolinggo, Kabupaten Lampung Timur, Lampung, Indonesia</w:t>
      </w:r>
      <w:r>
        <w:rPr>
          <w:b/>
        </w:rPr>
        <w:t xml:space="preserve"> Listed on: </w:t>
      </w:r>
      <w:r>
        <w:t>16 May 2005 (amended on 17 Apr. 2019</w:t>
      </w:r>
      <w:r>
        <w:rPr>
          <w:u w:val="single" w:color="000000"/>
        </w:rPr>
        <w:t>,</w:t>
      </w:r>
      <w:r>
        <w:rPr>
          <w:b/>
          <w:u w:val="single" w:color="000000"/>
        </w:rPr>
        <w:t xml:space="preserve"> </w:t>
      </w:r>
      <w:r>
        <w:rPr>
          <w:u w:val="single" w:color="000000"/>
        </w:rPr>
        <w:t>27 May 2022</w:t>
      </w:r>
      <w:r>
        <w:t xml:space="preserve">) </w:t>
      </w:r>
      <w:r>
        <w:rPr>
          <w:b/>
        </w:rPr>
        <w:t xml:space="preserve">Other information: </w:t>
      </w:r>
      <w:r>
        <w:t xml:space="preserve">Review pursuant to Security Council resolution 1822 (2008) was concluded on 8 Jun. 2010. Review pursuant to Security Council resolution 2253 (2015) was concluded on 7 June 2018. Review pursuant to Security Council resolution 2368 (2017) was concluded on 15 November 2021. INTERPOL-UN Security Council Special Notice web link: </w:t>
      </w:r>
      <w:hyperlink r:id="rId6" w:history="1">
        <w:r w:rsidR="0086484F" w:rsidRPr="002D5DDB">
          <w:rPr>
            <w:rStyle w:val="Hyperlink"/>
          </w:rPr>
          <w:t>https://www.interpol.int/en/How-we-work/Notices/View-UN-Notices-Individuals</w:t>
        </w:r>
      </w:hyperlink>
      <w:r w:rsidR="0086484F">
        <w:rPr>
          <w:lang w:val="en-US"/>
        </w:rPr>
        <w:t xml:space="preserve"> </w:t>
      </w:r>
      <w:hyperlink r:id="rId7">
        <w:r>
          <w:rPr>
            <w:u w:val="single" w:color="000000"/>
          </w:rPr>
          <w:t>click</w:t>
        </w:r>
      </w:hyperlink>
      <w:hyperlink r:id="rId8">
        <w:r>
          <w:t xml:space="preserve"> </w:t>
        </w:r>
      </w:hyperlink>
      <w:hyperlink r:id="rId9">
        <w:r>
          <w:rPr>
            <w:u w:val="single" w:color="000000"/>
          </w:rPr>
          <w:t>here</w:t>
        </w:r>
      </w:hyperlink>
      <w:hyperlink r:id="rId10">
        <w:r>
          <w:t xml:space="preserve"> </w:t>
        </w:r>
      </w:hyperlink>
    </w:p>
    <w:p w14:paraId="74D5CD87" w14:textId="77777777" w:rsidR="00D63168" w:rsidRDefault="00D63168" w:rsidP="00D63168">
      <w:pPr>
        <w:spacing w:line="259" w:lineRule="auto"/>
        <w:ind w:left="106" w:firstLine="0"/>
      </w:pPr>
      <w:r>
        <w:t xml:space="preserve"> </w:t>
      </w:r>
    </w:p>
    <w:p w14:paraId="493AA662" w14:textId="77777777" w:rsidR="00D63168" w:rsidRDefault="00D63168" w:rsidP="00D63168">
      <w:pPr>
        <w:ind w:left="110" w:right="621"/>
      </w:pPr>
      <w:r>
        <w:rPr>
          <w:b/>
        </w:rPr>
        <w:t xml:space="preserve">QDi.304 Name: </w:t>
      </w:r>
      <w:r>
        <w:t xml:space="preserve">1: MOCHAMMAD 2: ACHWAN 3: na 4: na </w:t>
      </w:r>
    </w:p>
    <w:p w14:paraId="5F4448EC" w14:textId="5D70DA3E" w:rsidR="00D63168" w:rsidRDefault="00D63168" w:rsidP="0086484F">
      <w:pPr>
        <w:ind w:left="110" w:right="647"/>
      </w:pPr>
      <w:r>
        <w:rPr>
          <w:b/>
        </w:rPr>
        <w:t xml:space="preserve">Title: </w:t>
      </w:r>
      <w:r>
        <w:t>na</w:t>
      </w:r>
      <w:r>
        <w:rPr>
          <w:b/>
        </w:rPr>
        <w:t xml:space="preserve"> Designation: </w:t>
      </w:r>
      <w:r>
        <w:t>na</w:t>
      </w:r>
      <w:r>
        <w:rPr>
          <w:b/>
        </w:rPr>
        <w:t xml:space="preserve"> DOB: a) </w:t>
      </w:r>
      <w:r>
        <w:t>4 May 1948</w:t>
      </w:r>
      <w:r>
        <w:rPr>
          <w:b/>
        </w:rPr>
        <w:t xml:space="preserve"> b) </w:t>
      </w:r>
      <w:r>
        <w:t>4 May 1946</w:t>
      </w:r>
      <w:r>
        <w:rPr>
          <w:b/>
        </w:rPr>
        <w:t xml:space="preserve"> POB: </w:t>
      </w:r>
      <w:r>
        <w:t xml:space="preserve">Tulungagung, Indonesia </w:t>
      </w:r>
      <w:r>
        <w:rPr>
          <w:b/>
        </w:rPr>
        <w:t xml:space="preserve"> Good quality a.k.a.: a) </w:t>
      </w:r>
      <w:r>
        <w:t>Muhammad Achwan</w:t>
      </w:r>
      <w:r>
        <w:rPr>
          <w:b/>
        </w:rPr>
        <w:t xml:space="preserve"> b) </w:t>
      </w:r>
      <w:r>
        <w:t>Muhammad Akhwan</w:t>
      </w:r>
      <w:r>
        <w:rPr>
          <w:b/>
        </w:rPr>
        <w:t xml:space="preserve"> c) </w:t>
      </w:r>
      <w:r>
        <w:t>Mochtar Achwan</w:t>
      </w:r>
      <w:r>
        <w:rPr>
          <w:b/>
        </w:rPr>
        <w:t xml:space="preserve"> d) </w:t>
      </w:r>
      <w:r>
        <w:t>Mochtar Akhwan</w:t>
      </w:r>
      <w:r>
        <w:rPr>
          <w:b/>
        </w:rPr>
        <w:t xml:space="preserve"> e) </w:t>
      </w:r>
      <w:r>
        <w:t>Mochtar Akwan</w:t>
      </w:r>
      <w:r>
        <w:rPr>
          <w:b/>
        </w:rPr>
        <w:t xml:space="preserve"> Low quality a.k.a.: </w:t>
      </w:r>
      <w:r>
        <w:t>na</w:t>
      </w:r>
      <w:r>
        <w:rPr>
          <w:b/>
        </w:rPr>
        <w:t xml:space="preserve"> Nationality: </w:t>
      </w:r>
      <w:r>
        <w:t>Indonesia</w:t>
      </w:r>
      <w:r>
        <w:rPr>
          <w:b/>
        </w:rPr>
        <w:t xml:space="preserve"> Passport no: </w:t>
      </w:r>
      <w:r>
        <w:t>na</w:t>
      </w:r>
      <w:r>
        <w:rPr>
          <w:b/>
        </w:rPr>
        <w:t xml:space="preserve"> National identification no: </w:t>
      </w:r>
      <w:r>
        <w:rPr>
          <w:b/>
          <w:u w:val="single" w:color="000000"/>
        </w:rPr>
        <w:t>a)</w:t>
      </w:r>
      <w:r>
        <w:rPr>
          <w:b/>
        </w:rPr>
        <w:t xml:space="preserve"> </w:t>
      </w:r>
      <w:r>
        <w:t>Indonesia National Identity Card 3573010405480001</w:t>
      </w:r>
      <w:r>
        <w:rPr>
          <w:strike/>
        </w:rPr>
        <w:t xml:space="preserve"> (under name Mochammad Achwan</w:t>
      </w:r>
      <w:r>
        <w:t xml:space="preserve"> </w:t>
      </w:r>
      <w:r>
        <w:rPr>
          <w:strike/>
        </w:rPr>
        <w:t xml:space="preserve">) </w:t>
      </w:r>
      <w:r>
        <w:rPr>
          <w:b/>
        </w:rPr>
        <w:t xml:space="preserve"> </w:t>
      </w:r>
      <w:r>
        <w:rPr>
          <w:b/>
          <w:u w:val="single" w:color="000000"/>
        </w:rPr>
        <w:t>b)</w:t>
      </w:r>
      <w:r>
        <w:rPr>
          <w:u w:val="single" w:color="000000"/>
        </w:rPr>
        <w:t xml:space="preserve"> Indonesia National Identity Card 353010405480001</w:t>
      </w:r>
      <w:r>
        <w:t xml:space="preserve"> </w:t>
      </w:r>
      <w:r>
        <w:rPr>
          <w:b/>
        </w:rPr>
        <w:t xml:space="preserve">Address: </w:t>
      </w:r>
      <w:r>
        <w:t xml:space="preserve">Jalan Ir. H. Juanda 8/10, RT/RW 002/001, Jodipan, Blimbing, Malang, </w:t>
      </w:r>
      <w:r>
        <w:rPr>
          <w:u w:val="single" w:color="000000"/>
        </w:rPr>
        <w:t>65127,</w:t>
      </w:r>
      <w:r>
        <w:t xml:space="preserve"> Indonesia </w:t>
      </w:r>
      <w:r>
        <w:rPr>
          <w:b/>
        </w:rPr>
        <w:t xml:space="preserve"> Listed on: </w:t>
      </w:r>
      <w:r>
        <w:t>12 Mar. 2012</w:t>
      </w:r>
      <w:r>
        <w:rPr>
          <w:b/>
        </w:rPr>
        <w:t xml:space="preserve"> </w:t>
      </w:r>
      <w:r>
        <w:t>(</w:t>
      </w:r>
      <w:r>
        <w:rPr>
          <w:u w:val="single" w:color="000000"/>
        </w:rPr>
        <w:t>amended on 27 May 2022</w:t>
      </w:r>
      <w:r>
        <w:t>)</w:t>
      </w:r>
      <w:r>
        <w:rPr>
          <w:b/>
        </w:rPr>
        <w:t xml:space="preserve"> Other information: </w:t>
      </w:r>
      <w:r>
        <w:t xml:space="preserve">Acting emir of Jemmah Anshorut Tauhid (JAT) (QDe.133). Associated with Abu Bakar Ba’asyir (QDi.217), Abdul Rahim Ba’aysir (QDi.293) and Jemaah Islamiyah (QDe.092). Review pursuant </w:t>
      </w:r>
      <w:r>
        <w:lastRenderedPageBreak/>
        <w:t xml:space="preserve">to Security Council resolution 2368 (2017) was concluded on 15 November 2021. INTERPOL-UN Security Council Special Notice web link: </w:t>
      </w:r>
      <w:hyperlink r:id="rId11" w:history="1">
        <w:r w:rsidR="0086484F" w:rsidRPr="002D5DDB">
          <w:rPr>
            <w:rStyle w:val="Hyperlink"/>
          </w:rPr>
          <w:t>https://www.interpol.int/en/How-we-work/Notices/View-UN-Notices-Individuals</w:t>
        </w:r>
      </w:hyperlink>
      <w:r w:rsidR="0086484F">
        <w:rPr>
          <w:lang w:val="en-US"/>
        </w:rPr>
        <w:t xml:space="preserve"> </w:t>
      </w:r>
      <w:hyperlink r:id="rId12">
        <w:r>
          <w:rPr>
            <w:u w:val="single" w:color="000000"/>
          </w:rPr>
          <w:t>click</w:t>
        </w:r>
      </w:hyperlink>
      <w:hyperlink r:id="rId13">
        <w:r>
          <w:t xml:space="preserve"> </w:t>
        </w:r>
      </w:hyperlink>
      <w:hyperlink r:id="rId14">
        <w:r>
          <w:rPr>
            <w:u w:val="single" w:color="000000"/>
          </w:rPr>
          <w:t>here</w:t>
        </w:r>
      </w:hyperlink>
      <w:hyperlink r:id="rId15">
        <w:r>
          <w:t xml:space="preserve"> </w:t>
        </w:r>
      </w:hyperlink>
    </w:p>
    <w:p w14:paraId="59AE7A06" w14:textId="77777777" w:rsidR="00D63168" w:rsidRDefault="00D63168" w:rsidP="00D63168">
      <w:pPr>
        <w:spacing w:line="259" w:lineRule="auto"/>
        <w:ind w:left="106" w:firstLine="0"/>
      </w:pPr>
      <w:r>
        <w:t xml:space="preserve"> </w:t>
      </w:r>
    </w:p>
    <w:p w14:paraId="158C0E6D" w14:textId="77777777" w:rsidR="00D63168" w:rsidRDefault="00D63168" w:rsidP="00D63168">
      <w:pPr>
        <w:ind w:left="110" w:right="621"/>
      </w:pPr>
      <w:r>
        <w:rPr>
          <w:b/>
        </w:rPr>
        <w:t xml:space="preserve">QDi.386 Name: </w:t>
      </w:r>
      <w:r>
        <w:t xml:space="preserve">1: MOUNIR 2: BEN DHAOU 3: BEN BRAHIM 4: BEN HELAL </w:t>
      </w:r>
      <w:r>
        <w:rPr>
          <w:b/>
        </w:rPr>
        <w:t xml:space="preserve">Title: </w:t>
      </w:r>
      <w:r>
        <w:t>na</w:t>
      </w:r>
      <w:r>
        <w:rPr>
          <w:b/>
        </w:rPr>
        <w:t xml:space="preserve"> Designation: </w:t>
      </w:r>
      <w:r>
        <w:t>na</w:t>
      </w:r>
      <w:r>
        <w:rPr>
          <w:b/>
        </w:rPr>
        <w:t xml:space="preserve"> DOB: </w:t>
      </w:r>
      <w:r>
        <w:t>10 May 1983</w:t>
      </w:r>
      <w:r>
        <w:rPr>
          <w:b/>
        </w:rPr>
        <w:t xml:space="preserve"> POB: </w:t>
      </w:r>
      <w:r>
        <w:t xml:space="preserve">Ben Guerdane, Tunisia </w:t>
      </w:r>
      <w:r>
        <w:rPr>
          <w:b/>
        </w:rPr>
        <w:t xml:space="preserve"> Good quality a.k.a.: </w:t>
      </w:r>
      <w:r>
        <w:t>na</w:t>
      </w:r>
      <w:r>
        <w:rPr>
          <w:b/>
        </w:rPr>
        <w:t xml:space="preserve"> Low quality a.k.a.: a) </w:t>
      </w:r>
      <w:r>
        <w:t>Mounir Helel</w:t>
      </w:r>
      <w:r>
        <w:rPr>
          <w:b/>
        </w:rPr>
        <w:t xml:space="preserve"> b) </w:t>
      </w:r>
      <w:r>
        <w:t>Mounir Hilel</w:t>
      </w:r>
      <w:r>
        <w:rPr>
          <w:b/>
        </w:rPr>
        <w:t xml:space="preserve"> c) </w:t>
      </w:r>
      <w:r>
        <w:t>Abu Rahmah</w:t>
      </w:r>
      <w:r>
        <w:rPr>
          <w:b/>
        </w:rPr>
        <w:t xml:space="preserve"> d) </w:t>
      </w:r>
      <w:r>
        <w:t>Abu Maryam al-Tunisi</w:t>
      </w:r>
      <w:r>
        <w:rPr>
          <w:b/>
        </w:rPr>
        <w:t xml:space="preserve"> Nationality: </w:t>
      </w:r>
      <w:r>
        <w:t>Tunisia</w:t>
      </w:r>
      <w:r>
        <w:rPr>
          <w:b/>
        </w:rPr>
        <w:t xml:space="preserve"> Passport no: </w:t>
      </w:r>
      <w:r>
        <w:t>na</w:t>
      </w:r>
      <w:r>
        <w:rPr>
          <w:b/>
        </w:rPr>
        <w:t xml:space="preserve"> National identification no: </w:t>
      </w:r>
      <w:r>
        <w:t xml:space="preserve"> </w:t>
      </w:r>
      <w:r>
        <w:rPr>
          <w:strike/>
        </w:rPr>
        <w:t>na</w:t>
      </w:r>
      <w:r>
        <w:t xml:space="preserve"> </w:t>
      </w:r>
      <w:r>
        <w:rPr>
          <w:u w:val="single" w:color="000000"/>
        </w:rPr>
        <w:t>08619445</w:t>
      </w:r>
      <w:r>
        <w:rPr>
          <w:b/>
        </w:rPr>
        <w:t xml:space="preserve"> Address: </w:t>
      </w:r>
      <w:r>
        <w:t xml:space="preserve"> </w:t>
      </w:r>
      <w:r>
        <w:rPr>
          <w:strike/>
        </w:rPr>
        <w:t>na</w:t>
      </w:r>
      <w:r>
        <w:t xml:space="preserve"> </w:t>
      </w:r>
      <w:r>
        <w:rPr>
          <w:u w:val="single" w:color="000000"/>
        </w:rPr>
        <w:t>Amria Ben Guerdane, Medenine, Tunisia</w:t>
      </w:r>
      <w:r>
        <w:t xml:space="preserve"> </w:t>
      </w:r>
      <w:r>
        <w:rPr>
          <w:b/>
        </w:rPr>
        <w:t xml:space="preserve">Listed on: </w:t>
      </w:r>
      <w:r>
        <w:t>29 Feb. 2016</w:t>
      </w:r>
      <w:r>
        <w:rPr>
          <w:b/>
        </w:rPr>
        <w:t xml:space="preserve"> </w:t>
      </w:r>
      <w:r>
        <w:t>(</w:t>
      </w:r>
      <w:r>
        <w:rPr>
          <w:u w:val="single" w:color="000000"/>
        </w:rPr>
        <w:t>amended on 27 May 2022</w:t>
      </w:r>
      <w:r>
        <w:t>)</w:t>
      </w:r>
      <w:r>
        <w:rPr>
          <w:b/>
        </w:rPr>
        <w:t xml:space="preserve"> Other information: </w:t>
      </w:r>
      <w:r>
        <w:t xml:space="preserve">Foreign terrorist fighter facilitator experienced in establishing and securing travel routes. Deeply involved in providing material support to the Organization of Al-Qaida in the Islamic Maghreb (QDe.014) in North Africa. Assisted foreign terrorist fighters’ travel throughout North Africa and to Syrian Arab Republic to join Islamic State in Iraq and the Levant, listed as Al-Qaida in Iraq (QDe.115). </w:t>
      </w:r>
      <w:r>
        <w:rPr>
          <w:u w:val="single" w:color="000000"/>
        </w:rPr>
        <w:t>Profession: farm worker. Mother's name: Mbarka</w:t>
      </w:r>
      <w:r>
        <w:t xml:space="preserve"> </w:t>
      </w:r>
      <w:r>
        <w:rPr>
          <w:u w:val="single" w:color="000000"/>
        </w:rPr>
        <w:t>Helali</w:t>
      </w:r>
      <w:r>
        <w:t>. Review pursuant to Security Council resolution 2368 (2017) was concluded on 15 November 2021. INTERPOL-UN Security Council Special Notice web link: https://www.interpol.int/en/How-we-work/Notices/View-UN-Notices-Individuals</w:t>
      </w:r>
      <w:hyperlink r:id="rId16">
        <w:r>
          <w:t xml:space="preserve"> </w:t>
        </w:r>
      </w:hyperlink>
      <w:hyperlink r:id="rId17">
        <w:r>
          <w:rPr>
            <w:color w:val="0000FF"/>
            <w:u w:val="single" w:color="0000FF"/>
          </w:rPr>
          <w:t>click</w:t>
        </w:r>
      </w:hyperlink>
      <w:hyperlink r:id="rId18">
        <w:r>
          <w:rPr>
            <w:color w:val="0000FF"/>
          </w:rPr>
          <w:t xml:space="preserve"> </w:t>
        </w:r>
      </w:hyperlink>
      <w:hyperlink r:id="rId19">
        <w:r>
          <w:rPr>
            <w:color w:val="0000FF"/>
            <w:u w:val="single" w:color="0000FF"/>
          </w:rPr>
          <w:t>here</w:t>
        </w:r>
      </w:hyperlink>
      <w:hyperlink r:id="rId20">
        <w:r>
          <w:t xml:space="preserve"> </w:t>
        </w:r>
      </w:hyperlink>
    </w:p>
    <w:p w14:paraId="391221B2" w14:textId="77777777" w:rsidR="00D63168" w:rsidRDefault="00D63168" w:rsidP="00D63168">
      <w:pPr>
        <w:spacing w:line="259" w:lineRule="auto"/>
        <w:ind w:left="106" w:firstLine="0"/>
      </w:pPr>
      <w:r>
        <w:t xml:space="preserve"> </w:t>
      </w:r>
    </w:p>
    <w:p w14:paraId="07A3890D" w14:textId="77777777" w:rsidR="00D63168" w:rsidRDefault="00D63168" w:rsidP="00D63168">
      <w:pPr>
        <w:ind w:left="110" w:right="621"/>
      </w:pPr>
      <w:r>
        <w:rPr>
          <w:b/>
        </w:rPr>
        <w:t xml:space="preserve">QDi.395 Name: </w:t>
      </w:r>
      <w:r>
        <w:t xml:space="preserve">1: MUHAMMAD 2: SHOLEH 3: IBRAHIM 4: na </w:t>
      </w:r>
    </w:p>
    <w:p w14:paraId="77A83B45" w14:textId="51013B75" w:rsidR="00D63168" w:rsidRDefault="00D63168" w:rsidP="0086484F">
      <w:pPr>
        <w:spacing w:after="1" w:line="243" w:lineRule="auto"/>
        <w:ind w:left="106" w:right="651" w:firstLine="0"/>
      </w:pPr>
      <w:r>
        <w:rPr>
          <w:b/>
        </w:rPr>
        <w:t xml:space="preserve">Title: </w:t>
      </w:r>
      <w:r>
        <w:t xml:space="preserve">Ustad </w:t>
      </w:r>
      <w:r>
        <w:rPr>
          <w:b/>
        </w:rPr>
        <w:t xml:space="preserve">Designation: </w:t>
      </w:r>
      <w:r>
        <w:t>na</w:t>
      </w:r>
      <w:r>
        <w:rPr>
          <w:b/>
        </w:rPr>
        <w:t xml:space="preserve"> DOB: </w:t>
      </w:r>
      <w:r>
        <w:t xml:space="preserve">1958 (Sep.) </w:t>
      </w:r>
      <w:r>
        <w:rPr>
          <w:b/>
        </w:rPr>
        <w:t xml:space="preserve"> POB: </w:t>
      </w:r>
      <w:r>
        <w:t xml:space="preserve">Demak, Indonesia </w:t>
      </w:r>
      <w:r>
        <w:rPr>
          <w:b/>
        </w:rPr>
        <w:t xml:space="preserve"> Good quality a.k.a.: a) </w:t>
      </w:r>
      <w:r>
        <w:t>Mohammad Sholeh Ibrahim</w:t>
      </w:r>
      <w:r>
        <w:rPr>
          <w:b/>
        </w:rPr>
        <w:t xml:space="preserve"> b) </w:t>
      </w:r>
      <w:r>
        <w:t>Muhammad Sholeh Ibrohim</w:t>
      </w:r>
      <w:r>
        <w:rPr>
          <w:b/>
        </w:rPr>
        <w:t xml:space="preserve"> c) </w:t>
      </w:r>
      <w:r>
        <w:t>Muhammad Soleh Ibrahim</w:t>
      </w:r>
      <w:r>
        <w:rPr>
          <w:b/>
        </w:rPr>
        <w:t xml:space="preserve"> d) </w:t>
      </w:r>
      <w:r>
        <w:t>Sholeh Ibrahim</w:t>
      </w:r>
      <w:r>
        <w:rPr>
          <w:b/>
        </w:rPr>
        <w:t xml:space="preserve"> e) </w:t>
      </w:r>
      <w:r>
        <w:t>Muh Sholeh Ibrahim</w:t>
      </w:r>
      <w:r>
        <w:rPr>
          <w:b/>
        </w:rPr>
        <w:t xml:space="preserve"> Low quality a.k.a.: </w:t>
      </w:r>
      <w:r>
        <w:t xml:space="preserve">na </w:t>
      </w:r>
      <w:r>
        <w:rPr>
          <w:b/>
        </w:rPr>
        <w:t xml:space="preserve">Nationality: </w:t>
      </w:r>
      <w:r>
        <w:t>Indonesia</w:t>
      </w:r>
      <w:r>
        <w:rPr>
          <w:b/>
        </w:rPr>
        <w:t xml:space="preserve"> Passport no: </w:t>
      </w:r>
      <w:r>
        <w:t>na</w:t>
      </w:r>
      <w:r>
        <w:rPr>
          <w:b/>
        </w:rPr>
        <w:t xml:space="preserve"> National identification no: </w:t>
      </w:r>
      <w:r>
        <w:t xml:space="preserve"> </w:t>
      </w:r>
      <w:r>
        <w:rPr>
          <w:strike/>
        </w:rPr>
        <w:t>na</w:t>
      </w:r>
      <w:r>
        <w:t xml:space="preserve"> </w:t>
      </w:r>
      <w:r>
        <w:rPr>
          <w:b/>
          <w:u w:val="single" w:color="000000"/>
        </w:rPr>
        <w:t>a)</w:t>
      </w:r>
      <w:r>
        <w:rPr>
          <w:u w:val="single" w:color="000000"/>
        </w:rPr>
        <w:t xml:space="preserve"> Indonesia</w:t>
      </w:r>
      <w:r>
        <w:t xml:space="preserve"> </w:t>
      </w:r>
      <w:r>
        <w:rPr>
          <w:u w:val="single" w:color="000000"/>
        </w:rPr>
        <w:t xml:space="preserve">National Identity Card 3311092409580002 </w:t>
      </w:r>
      <w:r>
        <w:rPr>
          <w:b/>
          <w:u w:val="single" w:color="000000"/>
        </w:rPr>
        <w:t>b)</w:t>
      </w:r>
      <w:r>
        <w:rPr>
          <w:u w:val="single" w:color="000000"/>
        </w:rPr>
        <w:t xml:space="preserve"> Indonesia National Identity Card</w:t>
      </w:r>
      <w:r>
        <w:t xml:space="preserve"> </w:t>
      </w:r>
      <w:r>
        <w:rPr>
          <w:u w:val="single" w:color="000000"/>
        </w:rPr>
        <w:t>3311092409580003</w:t>
      </w:r>
      <w:r>
        <w:rPr>
          <w:b/>
        </w:rPr>
        <w:t xml:space="preserve"> Address:  </w:t>
      </w:r>
      <w:r>
        <w:rPr>
          <w:strike/>
        </w:rPr>
        <w:t>na</w:t>
      </w:r>
      <w:r>
        <w:rPr>
          <w:b/>
        </w:rPr>
        <w:t xml:space="preserve"> a)</w:t>
      </w:r>
      <w:r>
        <w:rPr>
          <w:u w:val="single" w:color="000000"/>
        </w:rPr>
        <w:t xml:space="preserve"> Masjid Baitul Amin, Waringinrejo RT 01 RW 02,</w:t>
      </w:r>
      <w:r>
        <w:t xml:space="preserve"> </w:t>
      </w:r>
      <w:r>
        <w:rPr>
          <w:u w:val="single" w:color="000000"/>
        </w:rPr>
        <w:t xml:space="preserve">Grogol, Cemani, Sukoharjo, Jawa Tengah 57572, Indonesia  </w:t>
      </w:r>
      <w:r>
        <w:rPr>
          <w:b/>
          <w:u w:val="single" w:color="000000"/>
        </w:rPr>
        <w:t>b)</w:t>
      </w:r>
      <w:r>
        <w:rPr>
          <w:u w:val="single" w:color="000000"/>
        </w:rPr>
        <w:t xml:space="preserve"> Desa Cemani,</w:t>
      </w:r>
      <w:r>
        <w:t xml:space="preserve"> </w:t>
      </w:r>
      <w:r>
        <w:rPr>
          <w:u w:val="single" w:color="000000"/>
        </w:rPr>
        <w:t>Waringinrejo RT 001/021, Kecamatan Grogol, Kabupaten Sukoharjo, Jawa Tengah,</w:t>
      </w:r>
      <w:r>
        <w:t xml:space="preserve"> </w:t>
      </w:r>
      <w:r>
        <w:rPr>
          <w:u w:val="single" w:color="000000"/>
        </w:rPr>
        <w:t>Indonesia</w:t>
      </w:r>
      <w:r>
        <w:t xml:space="preserve"> </w:t>
      </w:r>
      <w:r>
        <w:rPr>
          <w:b/>
        </w:rPr>
        <w:t xml:space="preserve">Listed on: </w:t>
      </w:r>
      <w:r>
        <w:t>20 Apr. 2016 (</w:t>
      </w:r>
      <w:r>
        <w:rPr>
          <w:u w:val="single" w:color="000000"/>
        </w:rPr>
        <w:t>amended on 27 May 2022</w:t>
      </w:r>
      <w:r>
        <w:t xml:space="preserve">) </w:t>
      </w:r>
      <w:r>
        <w:rPr>
          <w:b/>
        </w:rPr>
        <w:t>Other information:</w:t>
      </w:r>
      <w:r>
        <w:t xml:space="preserve">  Has served as the acting emir of Jemmah Anshorut Tauhid (JAT) (QDe.133) since 2014 and has supported Islamic State in Iraq and the Levant (ISIL), listed as Al-Qaida in Iraq (QDe.115). </w:t>
      </w:r>
      <w:r>
        <w:rPr>
          <w:u w:val="single" w:color="000000"/>
        </w:rPr>
        <w:t>Profession: Lecturer/Private Teacher</w:t>
      </w:r>
      <w:r>
        <w:t xml:space="preserve">. Review pursuant to Security Council resolution 2368 (2017) was concluded on 15 November 2021. INTERPOL-UN Security </w:t>
      </w:r>
    </w:p>
    <w:p w14:paraId="0BF6C24D" w14:textId="77777777" w:rsidR="00D63168" w:rsidRDefault="00D63168" w:rsidP="00D63168">
      <w:pPr>
        <w:ind w:left="110" w:right="621"/>
      </w:pPr>
      <w:r>
        <w:t>Council Special Notice web link: https://www.interpol.int/en/How-wework/Notices/View-UN-Notices-Individuals</w:t>
      </w:r>
      <w:hyperlink r:id="rId21">
        <w:r>
          <w:t xml:space="preserve"> </w:t>
        </w:r>
      </w:hyperlink>
      <w:hyperlink r:id="rId22">
        <w:r>
          <w:rPr>
            <w:color w:val="0000FF"/>
            <w:u w:val="single" w:color="0000FF"/>
          </w:rPr>
          <w:t>click here</w:t>
        </w:r>
      </w:hyperlink>
      <w:hyperlink r:id="rId23">
        <w:r>
          <w:t xml:space="preserve"> </w:t>
        </w:r>
      </w:hyperlink>
    </w:p>
    <w:p w14:paraId="35F7CD7A" w14:textId="3752E054" w:rsidR="00AD2CF7" w:rsidRDefault="00D63168" w:rsidP="0086484F">
      <w:pPr>
        <w:spacing w:line="259" w:lineRule="auto"/>
        <w:ind w:left="106" w:firstLine="0"/>
      </w:pPr>
      <w:r>
        <w:rPr>
          <w:b/>
        </w:rPr>
        <w:t xml:space="preserve"> </w:t>
      </w:r>
    </w:p>
    <w:p w14:paraId="7E92A3D9" w14:textId="77777777" w:rsidR="00AD2CF7" w:rsidRDefault="00D02B60">
      <w:pPr>
        <w:spacing w:after="0" w:line="259" w:lineRule="auto"/>
        <w:ind w:left="12" w:right="0" w:firstLine="0"/>
        <w:jc w:val="left"/>
      </w:pPr>
      <w:r>
        <w:t xml:space="preserve"> </w:t>
      </w:r>
    </w:p>
    <w:p w14:paraId="5AA4B690" w14:textId="23BADA83" w:rsidR="00AD2CF7" w:rsidRDefault="00D02B60">
      <w:pPr>
        <w:ind w:left="7" w:right="55"/>
      </w:pPr>
      <w:r>
        <w:t xml:space="preserve">It is highlighted that the prohibitions, travel ban, and arms embargo under Sections 23, 24, 35 and 36 of the United Nations (Financial Prohibitions, Arms Embargo and Travel Ban) Sanctions Act 2019 still apply to the </w:t>
      </w:r>
      <w:r w:rsidR="0086484F">
        <w:rPr>
          <w:lang w:val="en-US"/>
        </w:rPr>
        <w:t>above</w:t>
      </w:r>
      <w:r>
        <w:t xml:space="preserve"> entries, as amended. </w:t>
      </w:r>
    </w:p>
    <w:p w14:paraId="525D86B1" w14:textId="6905097E" w:rsidR="00930814" w:rsidRDefault="00930814">
      <w:pPr>
        <w:ind w:left="7" w:right="55"/>
      </w:pPr>
    </w:p>
    <w:p w14:paraId="014A14C6" w14:textId="6CD74E50" w:rsidR="00930814" w:rsidRPr="00930814" w:rsidRDefault="00930814">
      <w:pPr>
        <w:ind w:left="7" w:right="55"/>
        <w:rPr>
          <w:lang w:val="en-US"/>
        </w:rPr>
      </w:pPr>
      <w:r>
        <w:rPr>
          <w:lang w:val="en-US"/>
        </w:rPr>
        <w:lastRenderedPageBreak/>
        <w:t xml:space="preserve">The Consolidated United Nations Security Council Sanctions List is also updated following changes made in the ISIL (Da’esh) and Al-Qaida Sanctions List. An updated version of the Consolidated List is accessible via the following URL: </w:t>
      </w:r>
      <w:hyperlink r:id="rId24">
        <w:r>
          <w:rPr>
            <w:color w:val="0000FF"/>
            <w:u w:val="single" w:color="0000FF"/>
          </w:rPr>
          <w:t>https://www.un.org/securitycouncil/content/un</w:t>
        </w:r>
      </w:hyperlink>
      <w:hyperlink r:id="rId25">
        <w:r>
          <w:rPr>
            <w:color w:val="0000FF"/>
            <w:u w:val="single" w:color="0000FF"/>
          </w:rPr>
          <w:t>-</w:t>
        </w:r>
      </w:hyperlink>
      <w:hyperlink r:id="rId26">
        <w:r>
          <w:rPr>
            <w:color w:val="0000FF"/>
            <w:u w:val="single" w:color="0000FF"/>
          </w:rPr>
          <w:t>sc</w:t>
        </w:r>
      </w:hyperlink>
      <w:hyperlink r:id="rId27">
        <w:r>
          <w:rPr>
            <w:color w:val="0000FF"/>
            <w:u w:val="single" w:color="0000FF"/>
          </w:rPr>
          <w:t>-</w:t>
        </w:r>
      </w:hyperlink>
      <w:hyperlink r:id="rId28">
        <w:r>
          <w:rPr>
            <w:color w:val="0000FF"/>
            <w:u w:val="single" w:color="0000FF"/>
          </w:rPr>
          <w:t>consolidated</w:t>
        </w:r>
      </w:hyperlink>
      <w:hyperlink r:id="rId29">
        <w:r>
          <w:rPr>
            <w:color w:val="0000FF"/>
            <w:u w:val="single" w:color="0000FF"/>
          </w:rPr>
          <w:t>-</w:t>
        </w:r>
      </w:hyperlink>
      <w:hyperlink r:id="rId30">
        <w:r>
          <w:rPr>
            <w:color w:val="0000FF"/>
            <w:u w:val="single" w:color="0000FF"/>
          </w:rPr>
          <w:t>list</w:t>
        </w:r>
      </w:hyperlink>
      <w:hyperlink r:id="rId31">
        <w:r>
          <w:rPr>
            <w:color w:val="0000FF"/>
          </w:rPr>
          <w:t xml:space="preserve"> </w:t>
        </w:r>
      </w:hyperlink>
    </w:p>
    <w:p w14:paraId="7BFCA087" w14:textId="77777777" w:rsidR="00AD2CF7" w:rsidRDefault="00D02B60">
      <w:pPr>
        <w:spacing w:after="0" w:line="259" w:lineRule="auto"/>
        <w:ind w:left="12" w:right="0" w:firstLine="0"/>
        <w:jc w:val="left"/>
      </w:pPr>
      <w:r>
        <w:t xml:space="preserve"> </w:t>
      </w:r>
    </w:p>
    <w:p w14:paraId="39D81011" w14:textId="77777777" w:rsidR="00AD2CF7" w:rsidRDefault="00D02B60">
      <w:pPr>
        <w:ind w:left="7" w:right="55"/>
      </w:pPr>
      <w:r>
        <w:t xml:space="preserve">The public and other stakeholders are urged to regularly check for any updates to the United Nations Sanctions Lists by accessing the above URL and comply with the relevant requirements under the Act. </w:t>
      </w:r>
    </w:p>
    <w:p w14:paraId="30ED40CE" w14:textId="77777777" w:rsidR="00AD2CF7" w:rsidRDefault="00D02B60">
      <w:pPr>
        <w:spacing w:after="0" w:line="259" w:lineRule="auto"/>
        <w:ind w:left="12" w:right="0" w:firstLine="0"/>
        <w:jc w:val="left"/>
      </w:pPr>
      <w:r>
        <w:t xml:space="preserve"> </w:t>
      </w:r>
    </w:p>
    <w:p w14:paraId="18DBF681" w14:textId="164B4592" w:rsidR="00AD2CF7" w:rsidRDefault="00D02B60">
      <w:pPr>
        <w:ind w:left="7" w:right="55"/>
      </w:pPr>
      <w:r>
        <w:t xml:space="preserve">For any </w:t>
      </w:r>
      <w:r w:rsidR="00930814">
        <w:t>query,</w:t>
      </w:r>
      <w:r>
        <w:t xml:space="preserve"> please contact the National Sanctions Secretariat as follows: </w:t>
      </w:r>
    </w:p>
    <w:p w14:paraId="498C7A45" w14:textId="77777777" w:rsidR="00AD2CF7" w:rsidRDefault="00D02B60">
      <w:pPr>
        <w:spacing w:after="0" w:line="259" w:lineRule="auto"/>
        <w:ind w:left="12" w:right="0" w:firstLine="0"/>
        <w:jc w:val="left"/>
      </w:pPr>
      <w:r>
        <w:t xml:space="preserve"> </w:t>
      </w:r>
    </w:p>
    <w:p w14:paraId="2D3B86E1" w14:textId="77777777" w:rsidR="00AD2CF7" w:rsidRDefault="00D02B60">
      <w:pPr>
        <w:spacing w:after="0" w:line="265" w:lineRule="auto"/>
        <w:ind w:left="7" w:right="0"/>
        <w:jc w:val="left"/>
      </w:pPr>
      <w:r>
        <w:rPr>
          <w:b/>
        </w:rPr>
        <w:t xml:space="preserve">National Sanctions Secretariat </w:t>
      </w:r>
    </w:p>
    <w:p w14:paraId="5FB22919" w14:textId="77777777" w:rsidR="00AD2CF7" w:rsidRDefault="00D02B60">
      <w:pPr>
        <w:tabs>
          <w:tab w:val="center" w:pos="1799"/>
        </w:tabs>
        <w:spacing w:after="0" w:line="265" w:lineRule="auto"/>
        <w:ind w:left="-708" w:right="0" w:firstLine="0"/>
        <w:jc w:val="left"/>
      </w:pPr>
      <w:r>
        <w:rPr>
          <w:b/>
        </w:rPr>
        <w:t xml:space="preserve"> </w:t>
      </w:r>
      <w:r>
        <w:rPr>
          <w:b/>
        </w:rPr>
        <w:tab/>
        <w:t xml:space="preserve">Level 7, New Government Centre </w:t>
      </w:r>
    </w:p>
    <w:p w14:paraId="50DF893C" w14:textId="77777777" w:rsidR="00AD2CF7" w:rsidRDefault="00D02B60">
      <w:pPr>
        <w:tabs>
          <w:tab w:val="center" w:pos="619"/>
        </w:tabs>
        <w:spacing w:after="0" w:line="265" w:lineRule="auto"/>
        <w:ind w:left="-708" w:right="0" w:firstLine="0"/>
        <w:jc w:val="left"/>
      </w:pPr>
      <w:r>
        <w:rPr>
          <w:b/>
        </w:rPr>
        <w:t xml:space="preserve"> </w:t>
      </w:r>
      <w:r>
        <w:rPr>
          <w:b/>
        </w:rPr>
        <w:tab/>
        <w:t xml:space="preserve">Port- Louis </w:t>
      </w:r>
    </w:p>
    <w:p w14:paraId="2AA0A4E1" w14:textId="77777777" w:rsidR="00AD2CF7" w:rsidRDefault="00D02B60">
      <w:pPr>
        <w:spacing w:after="0" w:line="259" w:lineRule="auto"/>
        <w:ind w:left="0" w:right="0" w:firstLine="0"/>
        <w:jc w:val="right"/>
      </w:pPr>
      <w:r>
        <w:rPr>
          <w:b/>
        </w:rPr>
        <w:t xml:space="preserve"> </w:t>
      </w:r>
    </w:p>
    <w:p w14:paraId="6FE21CA9" w14:textId="77777777" w:rsidR="00AD2CF7" w:rsidRDefault="00D02B60">
      <w:pPr>
        <w:spacing w:after="0" w:line="265" w:lineRule="auto"/>
        <w:ind w:left="7" w:right="0"/>
        <w:jc w:val="left"/>
      </w:pPr>
      <w:r>
        <w:rPr>
          <w:b/>
        </w:rPr>
        <w:t xml:space="preserve">Telephone: 201 1264/ 201 1366 </w:t>
      </w:r>
    </w:p>
    <w:p w14:paraId="50725FD4" w14:textId="77777777" w:rsidR="00AD2CF7" w:rsidRDefault="00D02B60">
      <w:pPr>
        <w:spacing w:after="0" w:line="265" w:lineRule="auto"/>
        <w:ind w:left="7" w:right="0"/>
        <w:jc w:val="left"/>
      </w:pPr>
      <w:r>
        <w:rPr>
          <w:b/>
        </w:rPr>
        <w:t xml:space="preserve">Email:         </w:t>
      </w:r>
      <w:r>
        <w:rPr>
          <w:b/>
          <w:color w:val="0563C1"/>
          <w:u w:val="single" w:color="0563C1"/>
        </w:rPr>
        <w:t>nssec@govmu.org</w:t>
      </w:r>
      <w:r>
        <w:rPr>
          <w:b/>
          <w:color w:val="0563C1"/>
        </w:rPr>
        <w:t xml:space="preserve"> </w:t>
      </w:r>
    </w:p>
    <w:p w14:paraId="4ED3192A" w14:textId="77777777" w:rsidR="00AD2CF7" w:rsidRDefault="00D02B60">
      <w:pPr>
        <w:spacing w:after="0" w:line="259" w:lineRule="auto"/>
        <w:ind w:left="12" w:right="0" w:firstLine="0"/>
        <w:jc w:val="left"/>
      </w:pPr>
      <w:r>
        <w:rPr>
          <w:b/>
          <w:color w:val="0563C1"/>
        </w:rPr>
        <w:t xml:space="preserve"> </w:t>
      </w:r>
    </w:p>
    <w:p w14:paraId="13792F3C" w14:textId="77777777" w:rsidR="00AD2CF7" w:rsidRDefault="00D02B60">
      <w:pPr>
        <w:spacing w:after="0" w:line="259" w:lineRule="auto"/>
        <w:ind w:left="12" w:right="0" w:firstLine="0"/>
        <w:jc w:val="left"/>
      </w:pPr>
      <w:r>
        <w:rPr>
          <w:b/>
          <w:color w:val="0563C1"/>
        </w:rPr>
        <w:t xml:space="preserve"> </w:t>
      </w:r>
    </w:p>
    <w:p w14:paraId="2B15D582" w14:textId="4C2ACC65" w:rsidR="00AD2CF7" w:rsidRPr="00930814" w:rsidRDefault="00930814">
      <w:pPr>
        <w:spacing w:after="1081" w:line="265" w:lineRule="auto"/>
        <w:ind w:left="7" w:right="0"/>
        <w:jc w:val="left"/>
        <w:rPr>
          <w:lang w:val="en-US"/>
        </w:rPr>
      </w:pPr>
      <w:r>
        <w:rPr>
          <w:b/>
          <w:lang w:val="en-US"/>
        </w:rPr>
        <w:t>28 May 2022</w:t>
      </w:r>
    </w:p>
    <w:p w14:paraId="1D5078B1" w14:textId="12E554DC" w:rsidR="00AD2CF7" w:rsidRDefault="00D02B60">
      <w:pPr>
        <w:spacing w:after="0" w:line="259" w:lineRule="auto"/>
        <w:ind w:left="12" w:right="0" w:firstLine="0"/>
        <w:jc w:val="left"/>
      </w:pPr>
      <w:r>
        <w:rPr>
          <w:rFonts w:ascii="Calibri" w:eastAsia="Calibri" w:hAnsi="Calibri" w:cs="Calibri"/>
          <w:sz w:val="22"/>
        </w:rPr>
        <w:tab/>
        <w:t xml:space="preserve"> </w:t>
      </w:r>
    </w:p>
    <w:sectPr w:rsidR="00AD2CF7" w:rsidSect="00930814">
      <w:footerReference w:type="default" r:id="rId32"/>
      <w:pgSz w:w="12240" w:h="15840"/>
      <w:pgMar w:top="1288" w:right="1376" w:bottom="709" w:left="1428" w:header="72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7AAD" w14:textId="77777777" w:rsidR="00A64213" w:rsidRDefault="00A64213" w:rsidP="00930814">
      <w:pPr>
        <w:spacing w:after="0" w:line="240" w:lineRule="auto"/>
      </w:pPr>
      <w:r>
        <w:separator/>
      </w:r>
    </w:p>
  </w:endnote>
  <w:endnote w:type="continuationSeparator" w:id="0">
    <w:p w14:paraId="6D7A0EE9" w14:textId="77777777" w:rsidR="00A64213" w:rsidRDefault="00A64213" w:rsidP="0093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81310"/>
      <w:docPartObj>
        <w:docPartGallery w:val="Page Numbers (Bottom of Page)"/>
        <w:docPartUnique/>
      </w:docPartObj>
    </w:sdtPr>
    <w:sdtEndPr/>
    <w:sdtContent>
      <w:sdt>
        <w:sdtPr>
          <w:id w:val="1728636285"/>
          <w:docPartObj>
            <w:docPartGallery w:val="Page Numbers (Top of Page)"/>
            <w:docPartUnique/>
          </w:docPartObj>
        </w:sdtPr>
        <w:sdtEndPr/>
        <w:sdtContent>
          <w:p w14:paraId="5D3A81CF" w14:textId="211393FF" w:rsidR="00930814" w:rsidRDefault="009308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AC2C5A" w14:textId="77777777" w:rsidR="00930814" w:rsidRDefault="00930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73B0" w14:textId="77777777" w:rsidR="00A64213" w:rsidRDefault="00A64213" w:rsidP="00930814">
      <w:pPr>
        <w:spacing w:after="0" w:line="240" w:lineRule="auto"/>
      </w:pPr>
      <w:r>
        <w:separator/>
      </w:r>
    </w:p>
  </w:footnote>
  <w:footnote w:type="continuationSeparator" w:id="0">
    <w:p w14:paraId="4670608C" w14:textId="77777777" w:rsidR="00A64213" w:rsidRDefault="00A64213" w:rsidP="00930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F7"/>
    <w:rsid w:val="006C3D39"/>
    <w:rsid w:val="0086484F"/>
    <w:rsid w:val="00930814"/>
    <w:rsid w:val="00986A5F"/>
    <w:rsid w:val="00A64213"/>
    <w:rsid w:val="00AD2CF7"/>
    <w:rsid w:val="00AD4601"/>
    <w:rsid w:val="00BC0631"/>
    <w:rsid w:val="00D02B60"/>
    <w:rsid w:val="00D63168"/>
    <w:rsid w:val="00E570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61496"/>
  <w15:docId w15:val="{3581DA81-3325-4526-912E-1DFF5891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22" w:right="64" w:hanging="10"/>
      <w:jc w:val="both"/>
    </w:pPr>
    <w:rPr>
      <w:rFonts w:ascii="Times New Roman" w:eastAsia="Times New Roman" w:hAnsi="Times New Roman" w:cs="Times New Roman"/>
      <w:color w:val="000000"/>
      <w:sz w:val="25"/>
    </w:rPr>
  </w:style>
  <w:style w:type="paragraph" w:styleId="Heading1">
    <w:name w:val="heading 1"/>
    <w:next w:val="Normal"/>
    <w:link w:val="Heading1Char"/>
    <w:uiPriority w:val="9"/>
    <w:qFormat/>
    <w:pPr>
      <w:keepNext/>
      <w:keepLines/>
      <w:spacing w:after="0"/>
      <w:ind w:left="761" w:hanging="10"/>
      <w:outlineLvl w:val="0"/>
    </w:pPr>
    <w:rPr>
      <w:rFonts w:ascii="Times New Roman" w:eastAsia="Times New Roman" w:hAnsi="Times New Roman" w:cs="Times New Roman"/>
      <w:b/>
      <w:color w:val="000000"/>
      <w:sz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u w:val="single" w:color="000000"/>
    </w:rPr>
  </w:style>
  <w:style w:type="character" w:styleId="Hyperlink">
    <w:name w:val="Hyperlink"/>
    <w:basedOn w:val="DefaultParagraphFont"/>
    <w:uiPriority w:val="99"/>
    <w:unhideWhenUsed/>
    <w:rsid w:val="0086484F"/>
    <w:rPr>
      <w:color w:val="0563C1" w:themeColor="hyperlink"/>
      <w:u w:val="single"/>
    </w:rPr>
  </w:style>
  <w:style w:type="character" w:styleId="UnresolvedMention">
    <w:name w:val="Unresolved Mention"/>
    <w:basedOn w:val="DefaultParagraphFont"/>
    <w:uiPriority w:val="99"/>
    <w:semiHidden/>
    <w:unhideWhenUsed/>
    <w:rsid w:val="0086484F"/>
    <w:rPr>
      <w:color w:val="605E5C"/>
      <w:shd w:val="clear" w:color="auto" w:fill="E1DFDD"/>
    </w:rPr>
  </w:style>
  <w:style w:type="paragraph" w:styleId="Header">
    <w:name w:val="header"/>
    <w:basedOn w:val="Normal"/>
    <w:link w:val="HeaderChar"/>
    <w:uiPriority w:val="99"/>
    <w:unhideWhenUsed/>
    <w:rsid w:val="00930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814"/>
    <w:rPr>
      <w:rFonts w:ascii="Times New Roman" w:eastAsia="Times New Roman" w:hAnsi="Times New Roman" w:cs="Times New Roman"/>
      <w:color w:val="000000"/>
      <w:sz w:val="25"/>
    </w:rPr>
  </w:style>
  <w:style w:type="paragraph" w:styleId="Footer">
    <w:name w:val="footer"/>
    <w:basedOn w:val="Normal"/>
    <w:link w:val="FooterChar"/>
    <w:uiPriority w:val="99"/>
    <w:unhideWhenUsed/>
    <w:rsid w:val="00930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814"/>
    <w:rPr>
      <w:rFonts w:ascii="Times New Roman" w:eastAsia="Times New Roman" w:hAnsi="Times New Roman" w:cs="Times New Roman"/>
      <w:color w:val="000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nterpol.int/en/How-we-work/Notices/View-UN-Notices-Individuals" TargetMode="External"/><Relationship Id="rId18" Type="http://schemas.openxmlformats.org/officeDocument/2006/relationships/hyperlink" Target="https://www.interpol.int/en/How-we-work/Notices/View-UN-Notices-Individuals" TargetMode="External"/><Relationship Id="rId26" Type="http://schemas.openxmlformats.org/officeDocument/2006/relationships/hyperlink" Target="https://www.un.org/securitycouncil/content/un-sc-consolidated-list" TargetMode="External"/><Relationship Id="rId21" Type="http://schemas.openxmlformats.org/officeDocument/2006/relationships/hyperlink" Target="https://www.interpol.int/en/How-we-work/Notices/View-UN-Notices-Individuals" TargetMode="External"/><Relationship Id="rId34" Type="http://schemas.openxmlformats.org/officeDocument/2006/relationships/theme" Target="theme/theme1.xml"/><Relationship Id="rId7" Type="http://schemas.openxmlformats.org/officeDocument/2006/relationships/hyperlink" Target="https://www.interpol.int/en/How-we-work/Notices/View-UN-Notices-Individuals" TargetMode="External"/><Relationship Id="rId12" Type="http://schemas.openxmlformats.org/officeDocument/2006/relationships/hyperlink" Target="https://www.interpol.int/en/How-we-work/Notices/View-UN-Notices-Individuals" TargetMode="External"/><Relationship Id="rId17" Type="http://schemas.openxmlformats.org/officeDocument/2006/relationships/hyperlink" Target="https://www.interpol.int/en/How-we-work/Notices/View-UN-Notices-Individuals" TargetMode="External"/><Relationship Id="rId25" Type="http://schemas.openxmlformats.org/officeDocument/2006/relationships/hyperlink" Target="https://www.un.org/securitycouncil/content/un-sc-consolidated-list"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nterpol.int/en/How-we-work/Notices/View-UN-Notices-Individuals" TargetMode="External"/><Relationship Id="rId20" Type="http://schemas.openxmlformats.org/officeDocument/2006/relationships/hyperlink" Target="https://www.interpol.int/en/How-we-work/Notices/View-UN-Notices-Individuals" TargetMode="External"/><Relationship Id="rId29" Type="http://schemas.openxmlformats.org/officeDocument/2006/relationships/hyperlink" Target="https://www.un.org/securitycouncil/content/un-sc-consolidated-list" TargetMode="External"/><Relationship Id="rId1" Type="http://schemas.openxmlformats.org/officeDocument/2006/relationships/styles" Target="styles.xml"/><Relationship Id="rId6" Type="http://schemas.openxmlformats.org/officeDocument/2006/relationships/hyperlink" Target="https://www.interpol.int/en/How-we-work/Notices/View-UN-Notices-Individuals" TargetMode="External"/><Relationship Id="rId11" Type="http://schemas.openxmlformats.org/officeDocument/2006/relationships/hyperlink" Target="https://www.interpol.int/en/How-we-work/Notices/View-UN-Notices-Individuals" TargetMode="External"/><Relationship Id="rId24" Type="http://schemas.openxmlformats.org/officeDocument/2006/relationships/hyperlink" Target="https://www.un.org/securitycouncil/content/un-sc-consolidated-list"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s://www.interpol.int/en/How-we-work/Notices/View-UN-Notices-Individuals" TargetMode="External"/><Relationship Id="rId23" Type="http://schemas.openxmlformats.org/officeDocument/2006/relationships/hyperlink" Target="https://www.interpol.int/en/How-we-work/Notices/View-UN-Notices-Individuals" TargetMode="External"/><Relationship Id="rId28" Type="http://schemas.openxmlformats.org/officeDocument/2006/relationships/hyperlink" Target="https://www.un.org/securitycouncil/content/un-sc-consolidated-list" TargetMode="External"/><Relationship Id="rId36" Type="http://schemas.openxmlformats.org/officeDocument/2006/relationships/customXml" Target="../customXml/item2.xml"/><Relationship Id="rId10" Type="http://schemas.openxmlformats.org/officeDocument/2006/relationships/hyperlink" Target="https://www.interpol.int/en/How-we-work/Notices/View-UN-Notices-Individuals" TargetMode="External"/><Relationship Id="rId19" Type="http://schemas.openxmlformats.org/officeDocument/2006/relationships/hyperlink" Target="https://www.interpol.int/en/How-we-work/Notices/View-UN-Notices-Individuals" TargetMode="External"/><Relationship Id="rId31" Type="http://schemas.openxmlformats.org/officeDocument/2006/relationships/hyperlink" Target="https://www.un.org/securitycouncil/content/un-sc-consolidated-list" TargetMode="External"/><Relationship Id="rId4" Type="http://schemas.openxmlformats.org/officeDocument/2006/relationships/footnotes" Target="footnotes.xml"/><Relationship Id="rId9" Type="http://schemas.openxmlformats.org/officeDocument/2006/relationships/hyperlink" Target="https://www.interpol.int/en/How-we-work/Notices/View-UN-Notices-Individuals" TargetMode="External"/><Relationship Id="rId14" Type="http://schemas.openxmlformats.org/officeDocument/2006/relationships/hyperlink" Target="https://www.interpol.int/en/How-we-work/Notices/View-UN-Notices-Individuals" TargetMode="External"/><Relationship Id="rId22" Type="http://schemas.openxmlformats.org/officeDocument/2006/relationships/hyperlink" Target="https://www.interpol.int/en/How-we-work/Notices/View-UN-Notices-Individuals" TargetMode="External"/><Relationship Id="rId27" Type="http://schemas.openxmlformats.org/officeDocument/2006/relationships/hyperlink" Target="https://www.un.org/securitycouncil/content/un-sc-consolidated-list" TargetMode="External"/><Relationship Id="rId30" Type="http://schemas.openxmlformats.org/officeDocument/2006/relationships/hyperlink" Target="https://www.un.org/securitycouncil/content/un-sc-consolidated-list" TargetMode="External"/><Relationship Id="rId35" Type="http://schemas.openxmlformats.org/officeDocument/2006/relationships/customXml" Target="../customXml/item1.xml"/><Relationship Id="rId8" Type="http://schemas.openxmlformats.org/officeDocument/2006/relationships/hyperlink" Target="https://www.interpol.int/en/How-we-work/Notices/View-UN-Notices-Individuals"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F14AEF-1339-449B-B330-A70C6D380C05}"/>
</file>

<file path=customXml/itemProps2.xml><?xml version="1.0" encoding="utf-8"?>
<ds:datastoreItem xmlns:ds="http://schemas.openxmlformats.org/officeDocument/2006/customXml" ds:itemID="{31ACB212-769C-4E04-BB5E-E5DFEB2A3529}"/>
</file>

<file path=customXml/itemProps3.xml><?xml version="1.0" encoding="utf-8"?>
<ds:datastoreItem xmlns:ds="http://schemas.openxmlformats.org/officeDocument/2006/customXml" ds:itemID="{0D6BEC4E-D3A4-4C83-BC98-533C7D9AFFE3}"/>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sareeta</cp:lastModifiedBy>
  <cp:revision>2</cp:revision>
  <dcterms:created xsi:type="dcterms:W3CDTF">2022-05-28T09:23:00Z</dcterms:created>
  <dcterms:modified xsi:type="dcterms:W3CDTF">2022-05-28T09:23:00Z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y fmtid="{D5CDD505-2E9C-101B-9397-08002B2CF9AE}" pid="3" name="Order">
    <vt:r8>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