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CA270" w14:textId="77777777" w:rsidR="00062082" w:rsidRDefault="00894006">
      <w:pPr>
        <w:spacing w:after="151"/>
        <w:ind w:right="8"/>
        <w:jc w:val="center"/>
      </w:pPr>
      <w:r>
        <w:rPr>
          <w:rFonts w:ascii="Times New Roman" w:eastAsia="Times New Roman" w:hAnsi="Times New Roman" w:cs="Times New Roman"/>
          <w:b/>
          <w:sz w:val="26"/>
        </w:rPr>
        <w:t xml:space="preserve">NATIONAL SANCTIONS SECRETARIAT </w:t>
      </w:r>
    </w:p>
    <w:p w14:paraId="4E90A4C3" w14:textId="77777777" w:rsidR="00062082" w:rsidRDefault="00894006">
      <w:pPr>
        <w:spacing w:after="15" w:line="265" w:lineRule="auto"/>
        <w:ind w:left="192" w:hanging="10"/>
      </w:pPr>
      <w:r>
        <w:rPr>
          <w:rFonts w:ascii="Times New Roman" w:eastAsia="Times New Roman" w:hAnsi="Times New Roman" w:cs="Times New Roman"/>
          <w:b/>
          <w:sz w:val="25"/>
        </w:rPr>
        <w:t xml:space="preserve">Notice under section 18(1)(a) of the United Nations (Financial Prohibitions, Arms </w:t>
      </w:r>
    </w:p>
    <w:p w14:paraId="1E0DB345" w14:textId="766BC29B" w:rsidR="00062082" w:rsidRDefault="00894006">
      <w:pPr>
        <w:spacing w:after="173"/>
        <w:ind w:right="6"/>
        <w:jc w:val="center"/>
      </w:pPr>
      <w:r>
        <w:rPr>
          <w:rFonts w:ascii="Times New Roman" w:eastAsia="Times New Roman" w:hAnsi="Times New Roman" w:cs="Times New Roman"/>
          <w:b/>
          <w:sz w:val="25"/>
        </w:rPr>
        <w:t xml:space="preserve">Embargo and Travel Ban) Sanctions Act </w:t>
      </w:r>
    </w:p>
    <w:p w14:paraId="0EA31D29" w14:textId="6BAF1EBB" w:rsidR="00062082" w:rsidRDefault="00640DAF" w:rsidP="00607548">
      <w:pPr>
        <w:spacing w:after="0"/>
        <w:jc w:val="center"/>
      </w:pPr>
      <w:r>
        <w:rPr>
          <w:rFonts w:ascii="Times New Roman" w:eastAsia="Times New Roman" w:hAnsi="Times New Roman" w:cs="Times New Roman"/>
          <w:b/>
          <w:sz w:val="25"/>
          <w:u w:val="single" w:color="000000"/>
        </w:rPr>
        <w:t xml:space="preserve">Removal of </w:t>
      </w:r>
      <w:r w:rsidRPr="00640DAF">
        <w:rPr>
          <w:rFonts w:ascii="Times New Roman" w:eastAsia="Times New Roman" w:hAnsi="Times New Roman" w:cs="Times New Roman"/>
          <w:b/>
          <w:bCs/>
          <w:sz w:val="25"/>
          <w:u w:val="single" w:color="000000"/>
        </w:rPr>
        <w:t>the list of 23 individuals and 61 entities</w:t>
      </w:r>
      <w:r w:rsidR="00F4184A">
        <w:rPr>
          <w:rFonts w:ascii="Times New Roman" w:eastAsia="Times New Roman" w:hAnsi="Times New Roman" w:cs="Times New Roman"/>
          <w:b/>
          <w:bCs/>
          <w:sz w:val="25"/>
          <w:u w:val="single" w:color="000000"/>
        </w:rPr>
        <w:t xml:space="preserve"> concerning</w:t>
      </w:r>
      <w:r w:rsidR="00F4184A">
        <w:rPr>
          <w:rFonts w:ascii="Times New Roman" w:eastAsia="Times New Roman" w:hAnsi="Times New Roman" w:cs="Times New Roman"/>
          <w:b/>
          <w:bCs/>
          <w:sz w:val="25"/>
          <w:u w:val="single" w:color="000000"/>
        </w:rPr>
        <w:br/>
        <w:t>the Islamic Republic of Iran</w:t>
      </w:r>
    </w:p>
    <w:p w14:paraId="22A25F20" w14:textId="77777777" w:rsidR="00062082" w:rsidRDefault="00894006">
      <w:pPr>
        <w:spacing w:after="0"/>
      </w:pPr>
      <w:r>
        <w:rPr>
          <w:rFonts w:ascii="Times New Roman" w:eastAsia="Times New Roman" w:hAnsi="Times New Roman" w:cs="Times New Roman"/>
          <w:b/>
          <w:sz w:val="25"/>
        </w:rPr>
        <w:t xml:space="preserve"> </w:t>
      </w:r>
    </w:p>
    <w:p w14:paraId="7C16D73B" w14:textId="76C21201" w:rsidR="00F4184A" w:rsidRPr="00F4184A" w:rsidRDefault="00F4184A" w:rsidP="00F4184A">
      <w:pPr>
        <w:pStyle w:val="NormalWeb"/>
        <w:shd w:val="clear" w:color="auto" w:fill="FFFFFF"/>
        <w:spacing w:before="0" w:beforeAutospacing="0" w:after="0" w:afterAutospacing="0" w:line="360" w:lineRule="auto"/>
        <w:jc w:val="both"/>
        <w:rPr>
          <w:color w:val="212121"/>
          <w:sz w:val="25"/>
          <w:szCs w:val="25"/>
        </w:rPr>
      </w:pPr>
      <w:r>
        <w:rPr>
          <w:sz w:val="25"/>
        </w:rPr>
        <w:t>N</w:t>
      </w:r>
      <w:r w:rsidRPr="00F4184A">
        <w:rPr>
          <w:sz w:val="25"/>
          <w:szCs w:val="25"/>
        </w:rPr>
        <w:t xml:space="preserve">otice is hereby given that, </w:t>
      </w:r>
      <w:r w:rsidR="00894006" w:rsidRPr="00F4184A">
        <w:rPr>
          <w:sz w:val="25"/>
          <w:szCs w:val="25"/>
        </w:rPr>
        <w:t xml:space="preserve">on </w:t>
      </w:r>
      <w:r w:rsidRPr="00F4184A">
        <w:rPr>
          <w:color w:val="212121"/>
          <w:sz w:val="25"/>
          <w:szCs w:val="25"/>
          <w:shd w:val="clear" w:color="auto" w:fill="FFFFFF"/>
        </w:rPr>
        <w:t>  </w:t>
      </w:r>
      <w:r w:rsidRPr="00F4184A">
        <w:rPr>
          <w:b/>
          <w:bCs/>
          <w:color w:val="212121"/>
          <w:sz w:val="25"/>
          <w:szCs w:val="25"/>
          <w:shd w:val="clear" w:color="auto" w:fill="FFFFFF"/>
        </w:rPr>
        <w:t>19 October 2023,</w:t>
      </w:r>
      <w:r w:rsidRPr="00F4184A">
        <w:rPr>
          <w:color w:val="212121"/>
          <w:sz w:val="25"/>
          <w:szCs w:val="25"/>
        </w:rPr>
        <w:t xml:space="preserve"> </w:t>
      </w:r>
      <w:r w:rsidRPr="00F4184A">
        <w:rPr>
          <w:color w:val="212121"/>
          <w:sz w:val="25"/>
          <w:szCs w:val="25"/>
        </w:rPr>
        <w:t>the Secretariat of the United Nations </w:t>
      </w:r>
      <w:r w:rsidRPr="00F4184A">
        <w:rPr>
          <w:b/>
          <w:bCs/>
          <w:color w:val="212121"/>
          <w:sz w:val="25"/>
          <w:szCs w:val="25"/>
        </w:rPr>
        <w:t>has </w:t>
      </w:r>
      <w:r w:rsidRPr="00F4184A">
        <w:rPr>
          <w:b/>
          <w:bCs/>
          <w:color w:val="212121"/>
          <w:sz w:val="25"/>
          <w:szCs w:val="25"/>
          <w:shd w:val="clear" w:color="auto" w:fill="FFFFFF"/>
        </w:rPr>
        <w:t>removed </w:t>
      </w:r>
      <w:r w:rsidRPr="00F4184A">
        <w:rPr>
          <w:color w:val="212121"/>
          <w:sz w:val="25"/>
          <w:szCs w:val="25"/>
        </w:rPr>
        <w:t xml:space="preserve">from the Security Council website the </w:t>
      </w:r>
      <w:r w:rsidRPr="00F4184A">
        <w:rPr>
          <w:color w:val="212121"/>
          <w:sz w:val="25"/>
          <w:szCs w:val="25"/>
        </w:rPr>
        <w:t>below</w:t>
      </w:r>
      <w:r>
        <w:rPr>
          <w:b/>
          <w:bCs/>
          <w:color w:val="212121"/>
          <w:sz w:val="25"/>
          <w:szCs w:val="25"/>
        </w:rPr>
        <w:t xml:space="preserve"> </w:t>
      </w:r>
      <w:r w:rsidRPr="00F4184A">
        <w:rPr>
          <w:b/>
          <w:bCs/>
          <w:color w:val="212121"/>
          <w:sz w:val="25"/>
          <w:szCs w:val="25"/>
        </w:rPr>
        <w:t>list of 23 individuals and 61 entities </w:t>
      </w:r>
      <w:r w:rsidRPr="00F4184A">
        <w:rPr>
          <w:color w:val="212121"/>
          <w:sz w:val="25"/>
          <w:szCs w:val="25"/>
        </w:rPr>
        <w:t>pursuant to the re</w:t>
      </w:r>
      <w:r w:rsidRPr="00F4184A">
        <w:rPr>
          <w:color w:val="333333"/>
          <w:sz w:val="25"/>
          <w:szCs w:val="25"/>
          <w:shd w:val="clear" w:color="auto" w:fill="FFFFFF"/>
        </w:rPr>
        <w:t>strictive measures contained in paragraphs 3, 4 and 6 (c) and (d) of Annex B to resolution 2231 (2015) ​</w:t>
      </w:r>
      <w:r w:rsidRPr="00F4184A">
        <w:rPr>
          <w:color w:val="212121"/>
          <w:sz w:val="25"/>
          <w:szCs w:val="25"/>
        </w:rPr>
        <w:t>concerning the </w:t>
      </w:r>
      <w:r w:rsidRPr="00F4184A">
        <w:rPr>
          <w:b/>
          <w:bCs/>
          <w:color w:val="212121"/>
          <w:sz w:val="25"/>
          <w:szCs w:val="25"/>
        </w:rPr>
        <w:t>Islamic Republic of Iran</w:t>
      </w:r>
      <w:r w:rsidR="000E3055">
        <w:rPr>
          <w:color w:val="212121"/>
          <w:sz w:val="25"/>
          <w:szCs w:val="25"/>
        </w:rPr>
        <w:t>:</w:t>
      </w:r>
      <w:r w:rsidRPr="00F4184A">
        <w:rPr>
          <w:color w:val="212121"/>
          <w:sz w:val="25"/>
          <w:szCs w:val="25"/>
        </w:rPr>
        <w:t xml:space="preserve"> </w:t>
      </w:r>
    </w:p>
    <w:p w14:paraId="57E4D145" w14:textId="3D4B3828" w:rsidR="000E3055" w:rsidRPr="00F840A5" w:rsidRDefault="00F4184A" w:rsidP="000E3055">
      <w:pPr>
        <w:shd w:val="clear" w:color="auto" w:fill="FFFFFF"/>
        <w:spacing w:before="240" w:after="0" w:line="360" w:lineRule="auto"/>
        <w:jc w:val="both"/>
        <w:rPr>
          <w:color w:val="auto"/>
          <w:sz w:val="23"/>
          <w:szCs w:val="23"/>
          <w:shd w:val="clear" w:color="auto" w:fill="FFFFFF"/>
        </w:rPr>
      </w:pPr>
      <w:r w:rsidRPr="00F4184A">
        <w:rPr>
          <w:rFonts w:ascii="Arial" w:eastAsia="Times New Roman" w:hAnsi="Arial" w:cs="Arial"/>
          <w:color w:val="212121"/>
          <w:sz w:val="24"/>
          <w:szCs w:val="24"/>
        </w:rPr>
        <w:t>​</w:t>
      </w:r>
      <w:r w:rsidRPr="00F4184A">
        <w:rPr>
          <w:rFonts w:ascii="Arial" w:eastAsia="Times New Roman" w:hAnsi="Arial" w:cs="Arial"/>
          <w:color w:val="212121"/>
          <w:sz w:val="24"/>
          <w:szCs w:val="24"/>
          <w:shd w:val="clear" w:color="auto" w:fill="FFFFFF"/>
        </w:rPr>
        <w:t>​</w:t>
      </w:r>
      <w:r w:rsidR="000E3055" w:rsidRPr="00F840A5">
        <w:rPr>
          <w:rFonts w:ascii="Times New Roman" w:hAnsi="Times New Roman" w:cs="Times New Roman"/>
          <w:color w:val="auto"/>
          <w:sz w:val="23"/>
          <w:szCs w:val="23"/>
          <w:shd w:val="clear" w:color="auto" w:fill="FFFFFF"/>
        </w:rPr>
        <w:t>FEREIDOUN ABBASI-DAVANI (IRi.001), AZIM AGHAJANI (IRi.003), ALI AKBAR AHMADIAN (IRi.004), BAHMANYAR MORTEZA BAHMANYAR (IRi.009), AHMAD VAHID DASTJERDI (IRi.012), AHMAD DERAKHSHANDEH (IRi.013), MOHAMMAD ESLAMI (IRi.014), REZA-GHOLI ESMAELI (IRi.015), MOHSEN FAKHRIZADEH-MAHABADI (IRi.016), MOHAMMAD HEJAZI (IRi.017), MOHSEN HOJATI (IRi.018), MEHRDADA AKHLAGHI KETABACHI (IRi.020) , NASER MALEKI (IRi.022), MOHAMMAD REZA NAQDI (IRi.026), MOHAMMAD MEHDI NEJAD NOURI (IRi.027), MORTEZA REZAIE (IRi.033), MORTEZA SAFARI (IRi.035), YAHYA RAHIM SAFAVI (IRi.036), HOSEIN SALIMI (IRi.038), QASEM SOLEIMANI (IRi.039), ALI AKBAR TABATABAEI (IRi.041), MOHAMMAD REZA ZAHEDI (IRi.042), and MOHAMMAD BAQER ZOLQADR (IRi.043).</w:t>
      </w:r>
    </w:p>
    <w:p w14:paraId="13BF48E9" w14:textId="601934D9" w:rsidR="00F4184A" w:rsidRPr="00F4184A" w:rsidRDefault="000E3055" w:rsidP="000E3055">
      <w:pPr>
        <w:pStyle w:val="NormalWeb"/>
        <w:spacing w:before="0" w:beforeAutospacing="0" w:after="0" w:afterAutospacing="0" w:line="360" w:lineRule="auto"/>
        <w:jc w:val="both"/>
        <w:rPr>
          <w:sz w:val="23"/>
          <w:szCs w:val="23"/>
          <w:shd w:val="clear" w:color="auto" w:fill="FFFFFF"/>
        </w:rPr>
      </w:pPr>
      <w:r w:rsidRPr="00F840A5">
        <w:rPr>
          <w:sz w:val="23"/>
          <w:szCs w:val="23"/>
          <w:shd w:val="clear" w:color="auto" w:fill="FFFFFF"/>
        </w:rPr>
        <w:t xml:space="preserve">7TH OF TIR (IRe.001), ABZAR BORESH KAVEH CO. (BK CO.) (IRe.002), AMIN INDUSTRIAL COMPLEX (IRe.003), AMMUNITION AND METALLURGY INDUSTRIES GROUP (AMIG) (IRe.004), ARMAMENT INDUSTRIES GROUP (AIG) (IRe.005), BARZAGANI TEJARAT TAVANMAD SACCAL COMPANIES (IRe.008), BEHINEH TRADING CO. (IRe.009), CRUISE MISSILE INDUSTRY GROUP (IRe.010), DEFENCE INDUSTRIES ORGANISATION (DIO) (IRe.011), DEFENSE TECHNOLOGY AND SCIENCE RESEARCH CENTER (DTSRC) (IRe.012), DOOSTAN INTERNATIONAL COMPANY (DICO) (IRe.013), ELECTRO SANAM COMPANY (IRe.014), ETTEHAD TECHNICAL GROUP (IRe.016), FAJR INDUSTRIAL GROUP (IRe.017), FARASAKHT INDUSTRIES (IRe.018), FARAYAND TECHNIQUE (IRe.019), FATER INSTITUTE (IRe.020), GHARAGAHE SAZANDEGI GHAEM (IRe.022), GHORB KARBALA (IRe.023), GHORB NOOH (IRe.024), HARA COMPANY (IRe.025), IMENSAZAN CONSULTANT ENGINEERS INSTITUTE (IRe.026), INDUSTRIAL FACTORIES OF PRECISION (IFP) MACHINERY (IRe.027), JOZA INDUSTRIAL CO. (IRe.031), KALA-ELECTRIC (IRe.032), KAVEH CUTTING TOOLS COMPANY (IRe.034), KHATAM AL-ANBIYA CONSTRUCTION HEADQUARTERS (KAA) (IRe.036), KHORASAN METALLURGY </w:t>
      </w:r>
      <w:r w:rsidRPr="00F840A5">
        <w:rPr>
          <w:sz w:val="23"/>
          <w:szCs w:val="23"/>
          <w:shd w:val="clear" w:color="auto" w:fill="FFFFFF"/>
        </w:rPr>
        <w:lastRenderedPageBreak/>
        <w:t>INDUSTRIES (IRe.037), M. BABAIE INDUSTRIES (IRe.038), MAKIN (IRe.039), MALEK ASHTAR UNIVERSITY (IRe.040), MINISTRY OF DEFENSE LOGISTICS EXPORT (IRe.042), MIZAN MACHINERY MANUFACTURING (IRe.043), NIRU BATTERY MANUFACTURING COMPANY (IRe.045), OMRAN SAHEL (IRe.048), ORIENTAL OIL KISH (IRe.049), PARCHIN CHEMICAL INDUSTRIES (IRe.050), PARS AVIATION SERVICES COMPANY (IRe.051), PEJMAN INDUSTRIAL SERVICES CORPORATION (IRe.053), QODS AERONAUTICS INDUSTRIES (IRe.055), RAH SAHEL (IRe.056), RAHAB ENGINEERING INSTITUTE (IRe.057), SABALAN COMPANY (IRe.058), SAD IMPORT EXPORT COMPANY (IRe.059), SAFETY EQUIPMENT PROCUREMENT (SEP) (IRe.060), SAHAND ALUMINUM PARTS INDUSTRIAL COMPANY (SAPICO) (IRe.061), SAHEL CONSULTANT ENGINEERS (IRe.062), SANAM INDUSTRIAL GROUP (IRe.063), SEPANIR (IRe.064), SEPASAD ENGINEERING COMPANY (IRe.065), SHAHID BAGHERI INDUSTRIAL GROUP (SBIG) (IRe.066), SHAHID HEMMAT INDUSTRIAL GROUP (SHIG) (IRe.067), SHAHID KARRAZI INDUSTRIES (IRe.068), SHAHID SATTARI INDUSTRIES (IRe.069), SHAHID SAYYADE SHIRAZI INDUSTRIES (SSSI) (IRe.070), SHO'A' AVIATION (IRe.071), SPECIAL INDUSTRIES GROUP (SIG) (IRe.073), TIZ PARS (IRe.075), YA MAHDI INDUSTRIES GROUP (IRe.076),  YAS AIR (IRe.077), and YAZD METALLURGY INDUSTRIES (YMI) (IRe.078).</w:t>
      </w:r>
    </w:p>
    <w:p w14:paraId="5DB6B7F4" w14:textId="77777777" w:rsidR="000E3055" w:rsidRDefault="00F4184A" w:rsidP="000E3055">
      <w:pPr>
        <w:pStyle w:val="NormalWeb"/>
        <w:shd w:val="clear" w:color="auto" w:fill="FFFFFF"/>
        <w:spacing w:before="0" w:beforeAutospacing="0" w:after="0" w:afterAutospacing="0"/>
        <w:jc w:val="both"/>
        <w:rPr>
          <w:rFonts w:ascii="Arial" w:hAnsi="Arial" w:cs="Arial"/>
          <w:color w:val="212121"/>
        </w:rPr>
      </w:pPr>
      <w:r>
        <w:rPr>
          <w:rFonts w:ascii="Arial" w:hAnsi="Arial" w:cs="Arial"/>
          <w:color w:val="212121"/>
        </w:rPr>
        <w:t>​</w:t>
      </w:r>
    </w:p>
    <w:p w14:paraId="65FE41DB" w14:textId="452C7EB5" w:rsidR="00062082" w:rsidRPr="00F840A5" w:rsidRDefault="00894006" w:rsidP="00F840A5">
      <w:pPr>
        <w:spacing w:after="12" w:line="267" w:lineRule="auto"/>
        <w:ind w:left="-5" w:hanging="10"/>
        <w:jc w:val="both"/>
        <w:rPr>
          <w:rFonts w:ascii="Times New Roman" w:eastAsia="Times New Roman" w:hAnsi="Times New Roman" w:cs="Times New Roman"/>
          <w:sz w:val="25"/>
        </w:rPr>
      </w:pPr>
      <w:r>
        <w:rPr>
          <w:rFonts w:ascii="Times New Roman" w:eastAsia="Times New Roman" w:hAnsi="Times New Roman" w:cs="Times New Roman"/>
          <w:sz w:val="25"/>
        </w:rPr>
        <w:t xml:space="preserve">It is highlighted that the prohibitions, travel ban, and arms embargo under sections 23, 24, 35 and 36 of the United Nations (Financial Prohibitions, Arms Embargo and Travel Ban) Sanctions Act 2019 </w:t>
      </w:r>
      <w:r w:rsidR="000E3055">
        <w:rPr>
          <w:rFonts w:ascii="Times New Roman" w:eastAsia="Times New Roman" w:hAnsi="Times New Roman" w:cs="Times New Roman"/>
          <w:sz w:val="25"/>
        </w:rPr>
        <w:t>have lapsed with immediate effect.</w:t>
      </w:r>
    </w:p>
    <w:p w14:paraId="5705B51A" w14:textId="77777777" w:rsidR="00F840A5" w:rsidRPr="008C17FF" w:rsidRDefault="00F840A5" w:rsidP="000E3055">
      <w:pPr>
        <w:pStyle w:val="NormalWeb"/>
        <w:shd w:val="clear" w:color="auto" w:fill="FFFFFF"/>
        <w:spacing w:before="0" w:beforeAutospacing="0" w:after="0" w:afterAutospacing="0"/>
        <w:jc w:val="both"/>
      </w:pPr>
    </w:p>
    <w:p w14:paraId="66315DE6" w14:textId="3F034F56" w:rsidR="00062082" w:rsidRDefault="000E3055" w:rsidP="008C17FF">
      <w:pPr>
        <w:spacing w:after="16"/>
        <w:jc w:val="both"/>
        <w:rPr>
          <w:rFonts w:ascii="Times New Roman" w:eastAsia="Times New Roman" w:hAnsi="Times New Roman" w:cs="Times New Roman"/>
          <w:sz w:val="25"/>
        </w:rPr>
      </w:pPr>
      <w:r w:rsidRPr="000E3055">
        <w:rPr>
          <w:rFonts w:ascii="Times New Roman" w:eastAsia="Times New Roman" w:hAnsi="Times New Roman" w:cs="Times New Roman"/>
          <w:sz w:val="25"/>
        </w:rPr>
        <w:t>Corresponding changes have also been made to the United Nations Security Council Consolidated List.</w:t>
      </w:r>
      <w:r>
        <w:rPr>
          <w:rFonts w:ascii="Times New Roman" w:eastAsia="Times New Roman" w:hAnsi="Times New Roman" w:cs="Times New Roman"/>
          <w:sz w:val="25"/>
        </w:rPr>
        <w:t xml:space="preserve"> </w:t>
      </w:r>
      <w:r w:rsidR="008C17FF" w:rsidRPr="008C17FF">
        <w:rPr>
          <w:rFonts w:ascii="Times New Roman" w:eastAsia="Times New Roman" w:hAnsi="Times New Roman" w:cs="Times New Roman"/>
          <w:sz w:val="25"/>
        </w:rPr>
        <w:t xml:space="preserve">An updated version of the Consolidated List is accessible via the following URL: </w:t>
      </w:r>
      <w:hyperlink r:id="rId6" w:history="1">
        <w:r w:rsidR="008C17FF" w:rsidRPr="00311B0E">
          <w:rPr>
            <w:rStyle w:val="Hyperlink"/>
            <w:rFonts w:ascii="Times New Roman" w:eastAsia="Times New Roman" w:hAnsi="Times New Roman" w:cs="Times New Roman"/>
            <w:sz w:val="25"/>
          </w:rPr>
          <w:t>https://www.un.org/securitycouncil/content/un-sc-consolidated-list</w:t>
        </w:r>
      </w:hyperlink>
      <w:r w:rsidR="00F840A5">
        <w:rPr>
          <w:rStyle w:val="Hyperlink"/>
          <w:rFonts w:ascii="Times New Roman" w:eastAsia="Times New Roman" w:hAnsi="Times New Roman" w:cs="Times New Roman"/>
          <w:sz w:val="25"/>
        </w:rPr>
        <w:t>.</w:t>
      </w:r>
    </w:p>
    <w:p w14:paraId="6E1612D9" w14:textId="77777777" w:rsidR="008C17FF" w:rsidRDefault="008C17FF" w:rsidP="008C17FF">
      <w:pPr>
        <w:spacing w:after="16"/>
        <w:jc w:val="both"/>
      </w:pPr>
    </w:p>
    <w:p w14:paraId="7D7248A2" w14:textId="77777777" w:rsidR="00062082" w:rsidRDefault="00894006">
      <w:pPr>
        <w:spacing w:after="12" w:line="267" w:lineRule="auto"/>
        <w:ind w:left="-5" w:hanging="10"/>
        <w:jc w:val="both"/>
      </w:pPr>
      <w:r>
        <w:rPr>
          <w:rFonts w:ascii="Times New Roman" w:eastAsia="Times New Roman" w:hAnsi="Times New Roman" w:cs="Times New Roman"/>
          <w:sz w:val="25"/>
        </w:rPr>
        <w:t xml:space="preserve">The public and other stakeholders are urged to regularly check for any updates to the United Nations Sanctions Lists by accessing the above URL and comply with the relevant requirements under the Act. </w:t>
      </w:r>
    </w:p>
    <w:p w14:paraId="24595CB3" w14:textId="77777777" w:rsidR="00062082" w:rsidRDefault="00894006">
      <w:pPr>
        <w:spacing w:after="19"/>
      </w:pPr>
      <w:r>
        <w:rPr>
          <w:rFonts w:ascii="Times New Roman" w:eastAsia="Times New Roman" w:hAnsi="Times New Roman" w:cs="Times New Roman"/>
          <w:sz w:val="25"/>
        </w:rPr>
        <w:t xml:space="preserve"> </w:t>
      </w:r>
    </w:p>
    <w:p w14:paraId="1345FD98" w14:textId="77777777" w:rsidR="00062082" w:rsidRDefault="00894006">
      <w:pPr>
        <w:spacing w:after="12" w:line="267" w:lineRule="auto"/>
        <w:ind w:left="-5" w:hanging="10"/>
        <w:jc w:val="both"/>
      </w:pPr>
      <w:r>
        <w:rPr>
          <w:rFonts w:ascii="Times New Roman" w:eastAsia="Times New Roman" w:hAnsi="Times New Roman" w:cs="Times New Roman"/>
          <w:sz w:val="25"/>
        </w:rPr>
        <w:t xml:space="preserve">For any query, please contact the National Sanctions Secretariat as follows: </w:t>
      </w:r>
    </w:p>
    <w:p w14:paraId="7F1E7D64" w14:textId="77777777" w:rsidR="00062082" w:rsidRDefault="00894006">
      <w:pPr>
        <w:spacing w:after="24"/>
      </w:pPr>
      <w:r>
        <w:rPr>
          <w:rFonts w:ascii="Times New Roman" w:eastAsia="Times New Roman" w:hAnsi="Times New Roman" w:cs="Times New Roman"/>
          <w:sz w:val="25"/>
        </w:rPr>
        <w:t xml:space="preserve"> </w:t>
      </w:r>
    </w:p>
    <w:p w14:paraId="4FBD68FA" w14:textId="77777777" w:rsidR="00062082" w:rsidRDefault="00894006">
      <w:pPr>
        <w:spacing w:after="15" w:line="265" w:lineRule="auto"/>
        <w:ind w:left="-5" w:hanging="10"/>
      </w:pPr>
      <w:r>
        <w:rPr>
          <w:rFonts w:ascii="Times New Roman" w:eastAsia="Times New Roman" w:hAnsi="Times New Roman" w:cs="Times New Roman"/>
          <w:b/>
          <w:sz w:val="25"/>
        </w:rPr>
        <w:t xml:space="preserve">National Sanctions Secretariat </w:t>
      </w:r>
    </w:p>
    <w:p w14:paraId="30711E35" w14:textId="77777777" w:rsidR="00062082" w:rsidRDefault="00894006">
      <w:pPr>
        <w:tabs>
          <w:tab w:val="center" w:pos="1787"/>
        </w:tabs>
        <w:spacing w:after="15" w:line="265" w:lineRule="auto"/>
        <w:ind w:left="-720"/>
      </w:pPr>
      <w:r>
        <w:rPr>
          <w:rFonts w:ascii="Times New Roman" w:eastAsia="Times New Roman" w:hAnsi="Times New Roman" w:cs="Times New Roman"/>
          <w:b/>
          <w:sz w:val="25"/>
        </w:rPr>
        <w:t xml:space="preserve"> </w:t>
      </w:r>
      <w:r>
        <w:rPr>
          <w:rFonts w:ascii="Times New Roman" w:eastAsia="Times New Roman" w:hAnsi="Times New Roman" w:cs="Times New Roman"/>
          <w:b/>
          <w:sz w:val="25"/>
        </w:rPr>
        <w:tab/>
        <w:t xml:space="preserve">Level 4, New Government Centre </w:t>
      </w:r>
    </w:p>
    <w:p w14:paraId="7EA0937E" w14:textId="77777777" w:rsidR="00062082" w:rsidRDefault="00894006">
      <w:pPr>
        <w:tabs>
          <w:tab w:val="center" w:pos="607"/>
        </w:tabs>
        <w:spacing w:after="15" w:line="265" w:lineRule="auto"/>
        <w:ind w:left="-720"/>
      </w:pPr>
      <w:r>
        <w:rPr>
          <w:rFonts w:ascii="Times New Roman" w:eastAsia="Times New Roman" w:hAnsi="Times New Roman" w:cs="Times New Roman"/>
          <w:b/>
          <w:sz w:val="25"/>
        </w:rPr>
        <w:t xml:space="preserve"> </w:t>
      </w:r>
      <w:r>
        <w:rPr>
          <w:rFonts w:ascii="Times New Roman" w:eastAsia="Times New Roman" w:hAnsi="Times New Roman" w:cs="Times New Roman"/>
          <w:b/>
          <w:sz w:val="25"/>
        </w:rPr>
        <w:tab/>
        <w:t xml:space="preserve">Port- Louis </w:t>
      </w:r>
    </w:p>
    <w:p w14:paraId="71474A79" w14:textId="77777777" w:rsidR="00062082" w:rsidRDefault="00894006">
      <w:pPr>
        <w:spacing w:after="15" w:line="265" w:lineRule="auto"/>
        <w:ind w:left="-5" w:hanging="10"/>
      </w:pPr>
      <w:r>
        <w:rPr>
          <w:rFonts w:ascii="Times New Roman" w:eastAsia="Times New Roman" w:hAnsi="Times New Roman" w:cs="Times New Roman"/>
          <w:b/>
          <w:sz w:val="25"/>
        </w:rPr>
        <w:t xml:space="preserve">Telephone: 201 3886/201 1264 </w:t>
      </w:r>
    </w:p>
    <w:p w14:paraId="5700EDFB" w14:textId="77777777" w:rsidR="00062082" w:rsidRDefault="00894006">
      <w:pPr>
        <w:spacing w:after="15" w:line="265" w:lineRule="auto"/>
        <w:ind w:left="-5" w:hanging="10"/>
      </w:pPr>
      <w:r>
        <w:rPr>
          <w:rFonts w:ascii="Times New Roman" w:eastAsia="Times New Roman" w:hAnsi="Times New Roman" w:cs="Times New Roman"/>
          <w:b/>
          <w:sz w:val="25"/>
        </w:rPr>
        <w:t xml:space="preserve">Fax:             211 9272 </w:t>
      </w:r>
    </w:p>
    <w:p w14:paraId="59B690EC" w14:textId="77777777" w:rsidR="00062082" w:rsidRDefault="00894006">
      <w:pPr>
        <w:spacing w:after="15" w:line="265" w:lineRule="auto"/>
        <w:ind w:left="-5" w:hanging="10"/>
      </w:pPr>
      <w:r>
        <w:rPr>
          <w:rFonts w:ascii="Times New Roman" w:eastAsia="Times New Roman" w:hAnsi="Times New Roman" w:cs="Times New Roman"/>
          <w:b/>
          <w:sz w:val="25"/>
        </w:rPr>
        <w:t xml:space="preserve">Email:         </w:t>
      </w:r>
      <w:r>
        <w:rPr>
          <w:rFonts w:ascii="Times New Roman" w:eastAsia="Times New Roman" w:hAnsi="Times New Roman" w:cs="Times New Roman"/>
          <w:b/>
          <w:color w:val="0563C1"/>
          <w:sz w:val="25"/>
          <w:u w:val="single" w:color="0563C1"/>
        </w:rPr>
        <w:t>nssec@govmu.org</w:t>
      </w:r>
      <w:r>
        <w:rPr>
          <w:rFonts w:ascii="Times New Roman" w:eastAsia="Times New Roman" w:hAnsi="Times New Roman" w:cs="Times New Roman"/>
          <w:b/>
          <w:color w:val="0563C1"/>
          <w:sz w:val="25"/>
        </w:rPr>
        <w:t xml:space="preserve"> </w:t>
      </w:r>
    </w:p>
    <w:p w14:paraId="4BE2864D" w14:textId="77777777" w:rsidR="00062082" w:rsidRDefault="00894006">
      <w:pPr>
        <w:spacing w:after="19"/>
      </w:pPr>
      <w:r>
        <w:rPr>
          <w:rFonts w:ascii="Times New Roman" w:eastAsia="Times New Roman" w:hAnsi="Times New Roman" w:cs="Times New Roman"/>
          <w:b/>
          <w:color w:val="0563C1"/>
          <w:sz w:val="25"/>
        </w:rPr>
        <w:t xml:space="preserve"> </w:t>
      </w:r>
    </w:p>
    <w:p w14:paraId="359C6606" w14:textId="685FC666" w:rsidR="00062082" w:rsidRDefault="000E3055" w:rsidP="008C17FF">
      <w:pPr>
        <w:tabs>
          <w:tab w:val="left" w:pos="6144"/>
        </w:tabs>
        <w:spacing w:after="8887" w:line="265" w:lineRule="auto"/>
        <w:ind w:left="-5" w:hanging="10"/>
      </w:pPr>
      <w:r>
        <w:rPr>
          <w:rFonts w:ascii="Times New Roman" w:eastAsia="Times New Roman" w:hAnsi="Times New Roman" w:cs="Times New Roman"/>
          <w:b/>
          <w:sz w:val="25"/>
        </w:rPr>
        <w:t>21 October</w:t>
      </w:r>
      <w:r w:rsidR="00894006">
        <w:rPr>
          <w:rFonts w:ascii="Times New Roman" w:eastAsia="Times New Roman" w:hAnsi="Times New Roman" w:cs="Times New Roman"/>
          <w:b/>
          <w:sz w:val="25"/>
        </w:rPr>
        <w:t xml:space="preserve"> 2023 </w:t>
      </w:r>
      <w:r w:rsidR="008C17FF">
        <w:rPr>
          <w:rFonts w:ascii="Times New Roman" w:eastAsia="Times New Roman" w:hAnsi="Times New Roman" w:cs="Times New Roman"/>
          <w:b/>
          <w:sz w:val="25"/>
        </w:rPr>
        <w:tab/>
      </w:r>
    </w:p>
    <w:sectPr w:rsidR="00062082" w:rsidSect="000E3055">
      <w:headerReference w:type="even" r:id="rId7"/>
      <w:headerReference w:type="default" r:id="rId8"/>
      <w:footerReference w:type="even" r:id="rId9"/>
      <w:footerReference w:type="default" r:id="rId10"/>
      <w:headerReference w:type="first" r:id="rId11"/>
      <w:footerReference w:type="first" r:id="rId12"/>
      <w:pgSz w:w="11906" w:h="16838"/>
      <w:pgMar w:top="997" w:right="1436" w:bottom="718" w:left="1440" w:header="720" w:footer="3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A0A51" w14:textId="77777777" w:rsidR="0005460B" w:rsidRDefault="0005460B" w:rsidP="008C17FF">
      <w:pPr>
        <w:spacing w:after="0" w:line="240" w:lineRule="auto"/>
      </w:pPr>
      <w:r>
        <w:separator/>
      </w:r>
    </w:p>
  </w:endnote>
  <w:endnote w:type="continuationSeparator" w:id="0">
    <w:p w14:paraId="7FF5C668" w14:textId="77777777" w:rsidR="0005460B" w:rsidRDefault="0005460B" w:rsidP="008C1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6029" w14:textId="77777777" w:rsidR="008C17FF" w:rsidRDefault="008C1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216461"/>
      <w:docPartObj>
        <w:docPartGallery w:val="Page Numbers (Bottom of Page)"/>
        <w:docPartUnique/>
      </w:docPartObj>
    </w:sdtPr>
    <w:sdtEndPr/>
    <w:sdtContent>
      <w:sdt>
        <w:sdtPr>
          <w:id w:val="1728636285"/>
          <w:docPartObj>
            <w:docPartGallery w:val="Page Numbers (Top of Page)"/>
            <w:docPartUnique/>
          </w:docPartObj>
        </w:sdtPr>
        <w:sdtEndPr/>
        <w:sdtContent>
          <w:p w14:paraId="6D43C018" w14:textId="712A1BFC" w:rsidR="008C17FF" w:rsidRDefault="008C17FF">
            <w:pPr>
              <w:pStyle w:val="Footer"/>
              <w:jc w:val="center"/>
            </w:pPr>
            <w:r w:rsidRPr="008C17FF">
              <w:rPr>
                <w:rFonts w:ascii="Times New Roman" w:hAnsi="Times New Roman" w:cs="Times New Roman"/>
              </w:rPr>
              <w:t xml:space="preserve">Page </w:t>
            </w:r>
            <w:r w:rsidRPr="008C17FF">
              <w:rPr>
                <w:rFonts w:ascii="Times New Roman" w:hAnsi="Times New Roman" w:cs="Times New Roman"/>
                <w:b/>
                <w:bCs/>
                <w:sz w:val="24"/>
                <w:szCs w:val="24"/>
              </w:rPr>
              <w:fldChar w:fldCharType="begin"/>
            </w:r>
            <w:r w:rsidRPr="008C17FF">
              <w:rPr>
                <w:rFonts w:ascii="Times New Roman" w:hAnsi="Times New Roman" w:cs="Times New Roman"/>
                <w:b/>
                <w:bCs/>
              </w:rPr>
              <w:instrText xml:space="preserve"> PAGE </w:instrText>
            </w:r>
            <w:r w:rsidRPr="008C17FF">
              <w:rPr>
                <w:rFonts w:ascii="Times New Roman" w:hAnsi="Times New Roman" w:cs="Times New Roman"/>
                <w:b/>
                <w:bCs/>
                <w:sz w:val="24"/>
                <w:szCs w:val="24"/>
              </w:rPr>
              <w:fldChar w:fldCharType="separate"/>
            </w:r>
            <w:r w:rsidRPr="008C17FF">
              <w:rPr>
                <w:rFonts w:ascii="Times New Roman" w:hAnsi="Times New Roman" w:cs="Times New Roman"/>
                <w:b/>
                <w:bCs/>
                <w:noProof/>
              </w:rPr>
              <w:t>2</w:t>
            </w:r>
            <w:r w:rsidRPr="008C17FF">
              <w:rPr>
                <w:rFonts w:ascii="Times New Roman" w:hAnsi="Times New Roman" w:cs="Times New Roman"/>
                <w:b/>
                <w:bCs/>
                <w:sz w:val="24"/>
                <w:szCs w:val="24"/>
              </w:rPr>
              <w:fldChar w:fldCharType="end"/>
            </w:r>
            <w:r w:rsidRPr="008C17FF">
              <w:rPr>
                <w:rFonts w:ascii="Times New Roman" w:hAnsi="Times New Roman" w:cs="Times New Roman"/>
              </w:rPr>
              <w:t xml:space="preserve"> of </w:t>
            </w:r>
            <w:r w:rsidRPr="008C17FF">
              <w:rPr>
                <w:rFonts w:ascii="Times New Roman" w:hAnsi="Times New Roman" w:cs="Times New Roman"/>
                <w:b/>
                <w:bCs/>
                <w:sz w:val="24"/>
                <w:szCs w:val="24"/>
              </w:rPr>
              <w:fldChar w:fldCharType="begin"/>
            </w:r>
            <w:r w:rsidRPr="008C17FF">
              <w:rPr>
                <w:rFonts w:ascii="Times New Roman" w:hAnsi="Times New Roman" w:cs="Times New Roman"/>
                <w:b/>
                <w:bCs/>
              </w:rPr>
              <w:instrText xml:space="preserve"> NUMPAGES  </w:instrText>
            </w:r>
            <w:r w:rsidRPr="008C17FF">
              <w:rPr>
                <w:rFonts w:ascii="Times New Roman" w:hAnsi="Times New Roman" w:cs="Times New Roman"/>
                <w:b/>
                <w:bCs/>
                <w:sz w:val="24"/>
                <w:szCs w:val="24"/>
              </w:rPr>
              <w:fldChar w:fldCharType="separate"/>
            </w:r>
            <w:r w:rsidRPr="008C17FF">
              <w:rPr>
                <w:rFonts w:ascii="Times New Roman" w:hAnsi="Times New Roman" w:cs="Times New Roman"/>
                <w:b/>
                <w:bCs/>
                <w:noProof/>
              </w:rPr>
              <w:t>2</w:t>
            </w:r>
            <w:r w:rsidRPr="008C17FF">
              <w:rPr>
                <w:rFonts w:ascii="Times New Roman" w:hAnsi="Times New Roman" w:cs="Times New Roman"/>
                <w:b/>
                <w:bCs/>
                <w:sz w:val="24"/>
                <w:szCs w:val="24"/>
              </w:rPr>
              <w:fldChar w:fldCharType="end"/>
            </w:r>
          </w:p>
        </w:sdtContent>
      </w:sdt>
    </w:sdtContent>
  </w:sdt>
  <w:p w14:paraId="784BB8A8" w14:textId="77777777" w:rsidR="008C17FF" w:rsidRDefault="008C17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D1EA" w14:textId="77777777" w:rsidR="008C17FF" w:rsidRDefault="008C1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98CCF" w14:textId="77777777" w:rsidR="0005460B" w:rsidRDefault="0005460B" w:rsidP="008C17FF">
      <w:pPr>
        <w:spacing w:after="0" w:line="240" w:lineRule="auto"/>
      </w:pPr>
      <w:r>
        <w:separator/>
      </w:r>
    </w:p>
  </w:footnote>
  <w:footnote w:type="continuationSeparator" w:id="0">
    <w:p w14:paraId="5BA0B14D" w14:textId="77777777" w:rsidR="0005460B" w:rsidRDefault="0005460B" w:rsidP="008C1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5570D" w14:textId="77777777" w:rsidR="008C17FF" w:rsidRDefault="008C17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F6631" w14:textId="77777777" w:rsidR="008C17FF" w:rsidRDefault="008C17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54E7" w14:textId="77777777" w:rsidR="008C17FF" w:rsidRDefault="008C17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082"/>
    <w:rsid w:val="0005460B"/>
    <w:rsid w:val="00062082"/>
    <w:rsid w:val="000E3055"/>
    <w:rsid w:val="00177FB3"/>
    <w:rsid w:val="00517644"/>
    <w:rsid w:val="00607548"/>
    <w:rsid w:val="00640DAF"/>
    <w:rsid w:val="006C56F6"/>
    <w:rsid w:val="007C7CED"/>
    <w:rsid w:val="008729A0"/>
    <w:rsid w:val="00894006"/>
    <w:rsid w:val="008C17FF"/>
    <w:rsid w:val="00DC788F"/>
    <w:rsid w:val="00F4184A"/>
    <w:rsid w:val="00F84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2FAB0"/>
  <w15:docId w15:val="{A182BCBD-D9C5-438A-BB86-9BC06662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2" w:hanging="10"/>
      <w:jc w:val="center"/>
      <w:outlineLvl w:val="0"/>
    </w:pPr>
    <w:rPr>
      <w:rFonts w:ascii="Palatino Linotype" w:eastAsia="Palatino Linotype" w:hAnsi="Palatino Linotype" w:cs="Palatino Linotype"/>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Palatino Linotype" w:eastAsia="Palatino Linotype" w:hAnsi="Palatino Linotype" w:cs="Palatino Linotype"/>
      <w:color w:val="000000"/>
      <w:sz w:val="24"/>
    </w:rPr>
  </w:style>
  <w:style w:type="character" w:styleId="Hyperlink">
    <w:name w:val="Hyperlink"/>
    <w:basedOn w:val="DefaultParagraphFont"/>
    <w:uiPriority w:val="99"/>
    <w:unhideWhenUsed/>
    <w:rsid w:val="00607548"/>
    <w:rPr>
      <w:color w:val="0563C1" w:themeColor="hyperlink"/>
      <w:u w:val="single"/>
    </w:rPr>
  </w:style>
  <w:style w:type="character" w:styleId="UnresolvedMention">
    <w:name w:val="Unresolved Mention"/>
    <w:basedOn w:val="DefaultParagraphFont"/>
    <w:uiPriority w:val="99"/>
    <w:semiHidden/>
    <w:unhideWhenUsed/>
    <w:rsid w:val="00607548"/>
    <w:rPr>
      <w:color w:val="605E5C"/>
      <w:shd w:val="clear" w:color="auto" w:fill="E1DFDD"/>
    </w:rPr>
  </w:style>
  <w:style w:type="paragraph" w:styleId="Header">
    <w:name w:val="header"/>
    <w:basedOn w:val="Normal"/>
    <w:link w:val="HeaderChar"/>
    <w:uiPriority w:val="99"/>
    <w:unhideWhenUsed/>
    <w:rsid w:val="008C17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7FF"/>
    <w:rPr>
      <w:rFonts w:ascii="Calibri" w:eastAsia="Calibri" w:hAnsi="Calibri" w:cs="Calibri"/>
      <w:color w:val="000000"/>
    </w:rPr>
  </w:style>
  <w:style w:type="paragraph" w:styleId="Footer">
    <w:name w:val="footer"/>
    <w:basedOn w:val="Normal"/>
    <w:link w:val="FooterChar"/>
    <w:uiPriority w:val="99"/>
    <w:unhideWhenUsed/>
    <w:rsid w:val="008C17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7FF"/>
    <w:rPr>
      <w:rFonts w:ascii="Calibri" w:eastAsia="Calibri" w:hAnsi="Calibri" w:cs="Calibri"/>
      <w:color w:val="000000"/>
    </w:rPr>
  </w:style>
  <w:style w:type="paragraph" w:styleId="NormalWeb">
    <w:name w:val="Normal (Web)"/>
    <w:basedOn w:val="Normal"/>
    <w:uiPriority w:val="99"/>
    <w:unhideWhenUsed/>
    <w:rsid w:val="00F4184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F418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737299">
      <w:bodyDiv w:val="1"/>
      <w:marLeft w:val="0"/>
      <w:marRight w:val="0"/>
      <w:marTop w:val="0"/>
      <w:marBottom w:val="0"/>
      <w:divBdr>
        <w:top w:val="none" w:sz="0" w:space="0" w:color="auto"/>
        <w:left w:val="none" w:sz="0" w:space="0" w:color="auto"/>
        <w:bottom w:val="none" w:sz="0" w:space="0" w:color="auto"/>
        <w:right w:val="none" w:sz="0" w:space="0" w:color="auto"/>
      </w:divBdr>
    </w:div>
    <w:div w:id="421992268">
      <w:bodyDiv w:val="1"/>
      <w:marLeft w:val="0"/>
      <w:marRight w:val="0"/>
      <w:marTop w:val="0"/>
      <w:marBottom w:val="0"/>
      <w:divBdr>
        <w:top w:val="none" w:sz="0" w:space="0" w:color="auto"/>
        <w:left w:val="none" w:sz="0" w:space="0" w:color="auto"/>
        <w:bottom w:val="none" w:sz="0" w:space="0" w:color="auto"/>
        <w:right w:val="none" w:sz="0" w:space="0" w:color="auto"/>
      </w:divBdr>
    </w:div>
    <w:div w:id="1516462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org/securitycouncil/content/un-sc-consolidated-lis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Mangesh Ramjutton</cp:lastModifiedBy>
  <cp:revision>6</cp:revision>
  <dcterms:created xsi:type="dcterms:W3CDTF">2023-10-21T02:05:00Z</dcterms:created>
  <dcterms:modified xsi:type="dcterms:W3CDTF">2023-10-21T02:36:00Z</dcterms:modified>
</cp:coreProperties>
</file>