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292ECE4A" w:rsidR="00F27AA1" w:rsidRPr="00810C56" w:rsidRDefault="00F27AA1" w:rsidP="009C369D">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00C7101C" w:rsidRPr="00810C56">
        <w:rPr>
          <w:rFonts w:ascii="Times New Roman" w:hAnsi="Times New Roman" w:cs="Times New Roman"/>
          <w:b/>
          <w:sz w:val="25"/>
          <w:szCs w:val="25"/>
          <w:u w:val="single"/>
        </w:rPr>
        <w:t>s</w:t>
      </w:r>
      <w:r w:rsidRPr="00810C56">
        <w:rPr>
          <w:rFonts w:ascii="Times New Roman" w:hAnsi="Times New Roman" w:cs="Times New Roman"/>
          <w:b/>
          <w:sz w:val="25"/>
          <w:szCs w:val="25"/>
          <w:u w:val="single"/>
        </w:rPr>
        <w:t xml:space="preserve"> of </w:t>
      </w:r>
      <w:r w:rsidR="00B24E5C">
        <w:rPr>
          <w:rFonts w:ascii="Times New Roman" w:hAnsi="Times New Roman" w:cs="Times New Roman"/>
          <w:b/>
          <w:sz w:val="25"/>
          <w:szCs w:val="25"/>
          <w:u w:val="single"/>
        </w:rPr>
        <w:t>Eighty-Five</w:t>
      </w:r>
      <w:r w:rsidR="00C7101C" w:rsidRPr="00810C56">
        <w:rPr>
          <w:rFonts w:ascii="Times New Roman" w:hAnsi="Times New Roman" w:cs="Times New Roman"/>
          <w:b/>
          <w:sz w:val="25"/>
          <w:szCs w:val="25"/>
          <w:u w:val="single"/>
        </w:rPr>
        <w:t xml:space="preserve"> Entries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210681B5" w14:textId="71E82409" w:rsidR="00B24E5C" w:rsidRPr="00B24E5C" w:rsidRDefault="00F27AA1" w:rsidP="00B24E5C">
      <w:p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 xml:space="preserve">Notice is hereby given that on </w:t>
      </w:r>
      <w:r w:rsidR="00B24E5C" w:rsidRPr="00B24E5C">
        <w:rPr>
          <w:rFonts w:ascii="Times New Roman" w:hAnsi="Times New Roman" w:cs="Times New Roman"/>
          <w:b/>
          <w:sz w:val="25"/>
          <w:szCs w:val="25"/>
        </w:rPr>
        <w:t>0</w:t>
      </w:r>
      <w:r w:rsidR="00B24E5C" w:rsidRPr="00B24E5C">
        <w:rPr>
          <w:rFonts w:ascii="Times New Roman" w:hAnsi="Times New Roman" w:cs="Times New Roman"/>
          <w:b/>
          <w:sz w:val="25"/>
          <w:szCs w:val="25"/>
        </w:rPr>
        <w:t>7 February 2024</w:t>
      </w:r>
      <w:r w:rsidR="00B24E5C" w:rsidRPr="00B24E5C">
        <w:rPr>
          <w:rFonts w:ascii="Times New Roman" w:hAnsi="Times New Roman" w:cs="Times New Roman"/>
          <w:sz w:val="25"/>
          <w:szCs w:val="25"/>
        </w:rPr>
        <w:t>, the entries below on the ISIL (</w:t>
      </w:r>
      <w:proofErr w:type="spellStart"/>
      <w:r w:rsidR="00B24E5C" w:rsidRPr="00B24E5C">
        <w:rPr>
          <w:rFonts w:ascii="Times New Roman" w:hAnsi="Times New Roman" w:cs="Times New Roman"/>
          <w:sz w:val="25"/>
          <w:szCs w:val="25"/>
        </w:rPr>
        <w:t>Da’esh</w:t>
      </w:r>
      <w:proofErr w:type="spellEnd"/>
      <w:r w:rsidR="00B24E5C" w:rsidRPr="00B24E5C">
        <w:rPr>
          <w:rFonts w:ascii="Times New Roman" w:hAnsi="Times New Roman" w:cs="Times New Roman"/>
          <w:sz w:val="25"/>
          <w:szCs w:val="25"/>
        </w:rPr>
        <w:t>) and Al-Qaida Sanctions List of individuals and entities subject to the assets freeze, travel ban, and arms embargo set out in paragraph 1 of Security Council resolution 2610 (2021) were amended following the 2022 Annual Review conducted in accordance with paragraphs 90 and 91 of resolution 2610 (2021).</w:t>
      </w:r>
    </w:p>
    <w:p w14:paraId="11AAC5AA" w14:textId="77777777" w:rsidR="00B24E5C" w:rsidRPr="00B24E5C" w:rsidRDefault="00B24E5C" w:rsidP="00B24E5C">
      <w:pPr>
        <w:spacing w:after="0" w:line="276" w:lineRule="auto"/>
        <w:jc w:val="both"/>
        <w:rPr>
          <w:rFonts w:ascii="Times New Roman" w:hAnsi="Times New Roman" w:cs="Times New Roman"/>
          <w:sz w:val="25"/>
          <w:szCs w:val="25"/>
        </w:rPr>
      </w:pPr>
    </w:p>
    <w:p w14:paraId="5FFC66C3" w14:textId="77777777" w:rsidR="00B24E5C" w:rsidRPr="00B24E5C" w:rsidRDefault="00B24E5C" w:rsidP="00B24E5C">
      <w:p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 xml:space="preserve">The following technical amendments were implemented on all the entries below:  in the field “Other information”, text was added as follows:  </w:t>
      </w:r>
      <w:r w:rsidRPr="00B24E5C">
        <w:rPr>
          <w:rFonts w:ascii="Times New Roman" w:hAnsi="Times New Roman" w:cs="Times New Roman"/>
          <w:sz w:val="25"/>
          <w:szCs w:val="25"/>
          <w:u w:val="single"/>
        </w:rPr>
        <w:t>Review pursuant to Security Council resolution 2610 (2021) was concluded on 30 October 2023</w:t>
      </w:r>
      <w:r w:rsidRPr="00B24E5C">
        <w:rPr>
          <w:rFonts w:ascii="Times New Roman" w:hAnsi="Times New Roman" w:cs="Times New Roman"/>
          <w:sz w:val="25"/>
          <w:szCs w:val="25"/>
        </w:rPr>
        <w:t>.</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3C98368E" w14:textId="77777777" w:rsidR="00B24E5C" w:rsidRPr="00B24E5C" w:rsidRDefault="00B24E5C" w:rsidP="00B24E5C">
      <w:pPr>
        <w:spacing w:after="0" w:line="276" w:lineRule="auto"/>
        <w:jc w:val="both"/>
        <w:rPr>
          <w:rFonts w:ascii="Times New Roman" w:hAnsi="Times New Roman" w:cs="Times New Roman"/>
          <w:sz w:val="25"/>
          <w:szCs w:val="25"/>
        </w:rPr>
      </w:pPr>
      <w:r w:rsidRPr="00B24E5C">
        <w:rPr>
          <w:rFonts w:ascii="Times New Roman" w:hAnsi="Times New Roman" w:cs="Times New Roman"/>
          <w:b/>
          <w:bCs/>
          <w:sz w:val="25"/>
          <w:szCs w:val="25"/>
        </w:rPr>
        <w:t>LIST OF AMENDED ENTRIES</w:t>
      </w:r>
    </w:p>
    <w:p w14:paraId="3671BB88"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QDi.003 </w:t>
      </w:r>
    </w:p>
    <w:p w14:paraId="443410F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QDi.020 </w:t>
      </w:r>
    </w:p>
    <w:p w14:paraId="1C7CD02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QDi.028 </w:t>
      </w:r>
    </w:p>
    <w:p w14:paraId="7B49D62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QDi.031</w:t>
      </w:r>
    </w:p>
    <w:p w14:paraId="5AAAB27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QDi.037 </w:t>
      </w:r>
    </w:p>
    <w:p w14:paraId="618EA1D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QDi.042 </w:t>
      </w:r>
    </w:p>
    <w:p w14:paraId="37E421BB"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QDi.059</w:t>
      </w:r>
    </w:p>
    <w:p w14:paraId="45EECE3D"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QDi.060 </w:t>
      </w:r>
    </w:p>
    <w:p w14:paraId="756AC2B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QDi.062 </w:t>
      </w:r>
    </w:p>
    <w:p w14:paraId="1BBBD38C"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QDi.064 </w:t>
      </w:r>
    </w:p>
    <w:p w14:paraId="0FAF743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QDi.067</w:t>
      </w:r>
    </w:p>
    <w:p w14:paraId="5909E0A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QDi.068</w:t>
      </w:r>
    </w:p>
    <w:p w14:paraId="6AFB765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QDi.072 </w:t>
      </w:r>
    </w:p>
    <w:p w14:paraId="4BF829D2"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QDi.074</w:t>
      </w:r>
    </w:p>
    <w:p w14:paraId="0A692FF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QDi.076</w:t>
      </w:r>
    </w:p>
    <w:p w14:paraId="0060CB14"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QDi.086</w:t>
      </w:r>
    </w:p>
    <w:p w14:paraId="1C5B7D48"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QDi.092</w:t>
      </w:r>
    </w:p>
    <w:p w14:paraId="7CE203C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QDi.096</w:t>
      </w:r>
    </w:p>
    <w:p w14:paraId="05B7E29B"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QDi.111</w:t>
      </w:r>
    </w:p>
    <w:p w14:paraId="7A7D0AC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QDi.120</w:t>
      </w:r>
    </w:p>
    <w:p w14:paraId="2A13768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QDi.139</w:t>
      </w:r>
    </w:p>
    <w:p w14:paraId="47B69A7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QDi.140</w:t>
      </w:r>
    </w:p>
    <w:p w14:paraId="4350B26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QDi.143</w:t>
      </w:r>
    </w:p>
    <w:p w14:paraId="09D8035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QDi.149</w:t>
      </w:r>
    </w:p>
    <w:p w14:paraId="3F04DAC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QDi.152</w:t>
      </w:r>
    </w:p>
    <w:p w14:paraId="3848CFCB"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QDi.167</w:t>
      </w:r>
    </w:p>
    <w:p w14:paraId="5C5862A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QDi.177</w:t>
      </w:r>
    </w:p>
    <w:p w14:paraId="45CCAA0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QDi.190</w:t>
      </w:r>
    </w:p>
    <w:p w14:paraId="57A4C6A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lastRenderedPageBreak/>
        <w:t>QDi.198</w:t>
      </w:r>
    </w:p>
    <w:p w14:paraId="6766FB1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QDi.241</w:t>
      </w:r>
    </w:p>
    <w:p w14:paraId="74BC9C0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QDi.242</w:t>
      </w:r>
    </w:p>
    <w:p w14:paraId="02BB2C4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QDi.243</w:t>
      </w:r>
    </w:p>
    <w:p w14:paraId="619EC1B6"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QDi.245</w:t>
      </w:r>
    </w:p>
    <w:p w14:paraId="227A511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QDi.246</w:t>
      </w:r>
    </w:p>
    <w:p w14:paraId="4986A8E4"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QDi.247</w:t>
      </w:r>
    </w:p>
    <w:p w14:paraId="4E0A071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QDi.248</w:t>
      </w:r>
    </w:p>
    <w:p w14:paraId="71C0175C"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QDi.251</w:t>
      </w:r>
    </w:p>
    <w:p w14:paraId="714D223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QDi.261</w:t>
      </w:r>
    </w:p>
    <w:p w14:paraId="3726E40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QDi.263</w:t>
      </w:r>
    </w:p>
    <w:p w14:paraId="6A0611F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QDi.278 </w:t>
      </w:r>
    </w:p>
    <w:p w14:paraId="05EB360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QDi.279 </w:t>
      </w:r>
    </w:p>
    <w:p w14:paraId="2B83639C"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QDi.280 </w:t>
      </w:r>
    </w:p>
    <w:p w14:paraId="6A9127B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QDi.298 </w:t>
      </w:r>
    </w:p>
    <w:p w14:paraId="5DACB134"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QDi.322 </w:t>
      </w:r>
    </w:p>
    <w:p w14:paraId="4516F40D"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QDi.323 </w:t>
      </w:r>
    </w:p>
    <w:p w14:paraId="1C9D809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QDi.327</w:t>
      </w:r>
    </w:p>
    <w:p w14:paraId="615B3A4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QDi.329</w:t>
      </w:r>
    </w:p>
    <w:p w14:paraId="03D8C28B"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QDi.330</w:t>
      </w:r>
    </w:p>
    <w:p w14:paraId="2DABF9C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QDi.331</w:t>
      </w:r>
    </w:p>
    <w:p w14:paraId="399B2D3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QDi.332</w:t>
      </w:r>
    </w:p>
    <w:p w14:paraId="1122D84C"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QDi.337</w:t>
      </w:r>
    </w:p>
    <w:p w14:paraId="00D0A75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QDi.339</w:t>
      </w:r>
    </w:p>
    <w:p w14:paraId="5FB166C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QDi.342</w:t>
      </w:r>
    </w:p>
    <w:p w14:paraId="33C027B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QDi.352</w:t>
      </w:r>
    </w:p>
    <w:p w14:paraId="6DC0C43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QDi.369</w:t>
      </w:r>
    </w:p>
    <w:p w14:paraId="1733596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QDi.370</w:t>
      </w:r>
    </w:p>
    <w:p w14:paraId="27FA8B5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QDi.384</w:t>
      </w:r>
    </w:p>
    <w:p w14:paraId="51C00276"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QDi.401</w:t>
      </w:r>
    </w:p>
    <w:p w14:paraId="4E2B46C0"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QDi.411</w:t>
      </w:r>
    </w:p>
    <w:p w14:paraId="6D462471"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QDi.412</w:t>
      </w:r>
    </w:p>
    <w:p w14:paraId="36F0E41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QDi.413</w:t>
      </w:r>
    </w:p>
    <w:p w14:paraId="526ADC2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QDi.414</w:t>
      </w:r>
    </w:p>
    <w:p w14:paraId="688CE54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QDi.416</w:t>
      </w:r>
    </w:p>
    <w:p w14:paraId="0044296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QDi.417</w:t>
      </w:r>
    </w:p>
    <w:p w14:paraId="51F5747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QDi.418</w:t>
      </w:r>
    </w:p>
    <w:p w14:paraId="5081D279"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QDi.419</w:t>
      </w:r>
    </w:p>
    <w:p w14:paraId="1F743AA2"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QDi.427</w:t>
      </w:r>
    </w:p>
    <w:p w14:paraId="48FA280D"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QDe.005</w:t>
      </w:r>
    </w:p>
    <w:p w14:paraId="3FDF5456"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QDe.091</w:t>
      </w:r>
    </w:p>
    <w:p w14:paraId="75B34A5F"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QDe.093</w:t>
      </w:r>
    </w:p>
    <w:p w14:paraId="7A39044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QDe.128</w:t>
      </w:r>
    </w:p>
    <w:p w14:paraId="786571F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QDe.138</w:t>
      </w:r>
    </w:p>
    <w:p w14:paraId="66D181F8"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QDe.139</w:t>
      </w:r>
    </w:p>
    <w:p w14:paraId="0E73E954"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lastRenderedPageBreak/>
        <w:t>QDe.140</w:t>
      </w:r>
    </w:p>
    <w:p w14:paraId="0FCAF404"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QDe.141</w:t>
      </w:r>
    </w:p>
    <w:p w14:paraId="77FFEF4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QDe.142</w:t>
      </w:r>
    </w:p>
    <w:p w14:paraId="308B6EFB"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QDe.143</w:t>
      </w:r>
    </w:p>
    <w:p w14:paraId="702D5425"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QDe.144</w:t>
      </w:r>
    </w:p>
    <w:p w14:paraId="1601FBC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QDe.145</w:t>
      </w:r>
    </w:p>
    <w:p w14:paraId="65254108"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QDe.146</w:t>
      </w:r>
    </w:p>
    <w:p w14:paraId="613CC923"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QDe.157</w:t>
      </w:r>
    </w:p>
    <w:p w14:paraId="73FD3FD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QDe.158</w:t>
      </w:r>
    </w:p>
    <w:p w14:paraId="55882707"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QDe.107</w:t>
      </w:r>
    </w:p>
    <w:p w14:paraId="634E094A"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QDe.118</w:t>
      </w:r>
    </w:p>
    <w:p w14:paraId="43C73C3E" w14:textId="77777777" w:rsidR="00B24E5C" w:rsidRPr="00B24E5C" w:rsidRDefault="00B24E5C" w:rsidP="00B24E5C">
      <w:pPr>
        <w:numPr>
          <w:ilvl w:val="0"/>
          <w:numId w:val="4"/>
        </w:numPr>
        <w:spacing w:after="0" w:line="276" w:lineRule="auto"/>
        <w:jc w:val="both"/>
        <w:rPr>
          <w:rFonts w:ascii="Times New Roman" w:hAnsi="Times New Roman" w:cs="Times New Roman"/>
          <w:sz w:val="25"/>
          <w:szCs w:val="25"/>
        </w:rPr>
      </w:pPr>
      <w:r w:rsidRPr="00B24E5C">
        <w:rPr>
          <w:rFonts w:ascii="Times New Roman" w:hAnsi="Times New Roman" w:cs="Times New Roman"/>
          <w:sz w:val="25"/>
          <w:szCs w:val="25"/>
        </w:rPr>
        <w:t>QDe.159</w:t>
      </w:r>
    </w:p>
    <w:p w14:paraId="7FD79CE4" w14:textId="77777777" w:rsidR="00854B75" w:rsidRDefault="00854B75" w:rsidP="009332A3">
      <w:pPr>
        <w:spacing w:after="0" w:line="276" w:lineRule="auto"/>
        <w:jc w:val="both"/>
        <w:rPr>
          <w:rFonts w:ascii="Times New Roman" w:hAnsi="Times New Roman" w:cs="Times New Roman"/>
          <w:sz w:val="25"/>
          <w:szCs w:val="25"/>
        </w:rPr>
      </w:pPr>
    </w:p>
    <w:p w14:paraId="68208A44" w14:textId="3BE5B408"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 Act 2019 still apply to the above entr</w:t>
      </w:r>
      <w:r w:rsidR="001411EA" w:rsidRPr="00810C56">
        <w:rPr>
          <w:rFonts w:ascii="Times New Roman" w:hAnsi="Times New Roman" w:cs="Times New Roman"/>
          <w:sz w:val="25"/>
          <w:szCs w:val="25"/>
        </w:rPr>
        <w:t>ies</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ISIL (Da’esh) a</w:t>
      </w:r>
      <w:bookmarkStart w:id="0" w:name="_GoBack"/>
      <w:bookmarkEnd w:id="0"/>
      <w:r w:rsidR="001411EA" w:rsidRPr="00810C56">
        <w:rPr>
          <w:rFonts w:ascii="Times New Roman" w:hAnsi="Times New Roman" w:cs="Times New Roman"/>
          <w:sz w:val="25"/>
          <w:szCs w:val="25"/>
        </w:rPr>
        <w:t xml:space="preserve">nd Al-Qaida Sanctions List. </w:t>
      </w:r>
      <w:r w:rsidRPr="00810C56">
        <w:rPr>
          <w:rFonts w:ascii="Times New Roman" w:hAnsi="Times New Roman" w:cs="Times New Roman"/>
          <w:sz w:val="25"/>
          <w:szCs w:val="25"/>
        </w:rPr>
        <w:t xml:space="preserve">An updated version of the Consolidated List is accessible via the following URL: </w:t>
      </w:r>
      <w:hyperlink r:id="rId8"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77777777" w:rsidR="006D1A7F" w:rsidRPr="00810C56" w:rsidRDefault="006D1A7F" w:rsidP="00854B75">
      <w:pPr>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9"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1AC3095A" w:rsidR="006D1A7F" w:rsidRPr="00810C56" w:rsidRDefault="00B24E5C" w:rsidP="009332A3">
      <w:pPr>
        <w:pStyle w:val="NormalWeb"/>
        <w:shd w:val="clear" w:color="auto" w:fill="FFFFFF"/>
        <w:spacing w:before="0" w:beforeAutospacing="0" w:after="0" w:afterAutospacing="0" w:line="276" w:lineRule="auto"/>
        <w:jc w:val="both"/>
        <w:rPr>
          <w:b/>
          <w:sz w:val="25"/>
          <w:szCs w:val="25"/>
        </w:rPr>
      </w:pPr>
      <w:r>
        <w:rPr>
          <w:b/>
          <w:sz w:val="25"/>
          <w:szCs w:val="25"/>
        </w:rPr>
        <w:t>08 February</w:t>
      </w:r>
      <w:r w:rsidR="00854B75">
        <w:rPr>
          <w:b/>
          <w:sz w:val="25"/>
          <w:szCs w:val="25"/>
        </w:rPr>
        <w:t xml:space="preserve"> 2024</w:t>
      </w:r>
    </w:p>
    <w:sectPr w:rsidR="006D1A7F" w:rsidRPr="00810C56" w:rsidSect="009C369D">
      <w:headerReference w:type="even" r:id="rId10"/>
      <w:headerReference w:type="default" r:id="rId11"/>
      <w:footerReference w:type="even" r:id="rId12"/>
      <w:footerReference w:type="default" r:id="rId13"/>
      <w:headerReference w:type="first" r:id="rId14"/>
      <w:footerReference w:type="first" r:id="rId15"/>
      <w:pgSz w:w="11906" w:h="16838" w:code="9"/>
      <w:pgMar w:top="630" w:right="1286" w:bottom="900" w:left="1170" w:header="720" w:footer="1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4EF5" w14:textId="77777777" w:rsidR="00E72A58" w:rsidRDefault="00E72A58" w:rsidP="00D13383">
      <w:pPr>
        <w:spacing w:after="0" w:line="240" w:lineRule="auto"/>
      </w:pPr>
      <w:r>
        <w:separator/>
      </w:r>
    </w:p>
  </w:endnote>
  <w:endnote w:type="continuationSeparator" w:id="0">
    <w:p w14:paraId="352D43F3" w14:textId="77777777" w:rsidR="00E72A58" w:rsidRDefault="00E72A58"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82BF" w14:textId="77777777" w:rsidR="007E4924" w:rsidRDefault="007E49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3778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86800535"/>
          <w:docPartObj>
            <w:docPartGallery w:val="Page Numbers (Top of Page)"/>
            <w:docPartUnique/>
          </w:docPartObj>
        </w:sdtPr>
        <w:sdtEndPr/>
        <w:sdtContent>
          <w:p w14:paraId="01C79D4A" w14:textId="36E014CB"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B24E5C">
              <w:rPr>
                <w:rFonts w:ascii="Times New Roman" w:hAnsi="Times New Roman" w:cs="Times New Roman"/>
                <w:b/>
                <w:bCs/>
                <w:noProof/>
              </w:rPr>
              <w:t>1</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B24E5C">
              <w:rPr>
                <w:rFonts w:ascii="Times New Roman" w:hAnsi="Times New Roman" w:cs="Times New Roman"/>
                <w:b/>
                <w:bCs/>
                <w:noProof/>
              </w:rPr>
              <w:t>3</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1440" w14:textId="77777777" w:rsidR="007E4924" w:rsidRDefault="007E4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4911" w14:textId="77777777" w:rsidR="00E72A58" w:rsidRDefault="00E72A58" w:rsidP="00D13383">
      <w:pPr>
        <w:spacing w:after="0" w:line="240" w:lineRule="auto"/>
      </w:pPr>
      <w:r>
        <w:separator/>
      </w:r>
    </w:p>
  </w:footnote>
  <w:footnote w:type="continuationSeparator" w:id="0">
    <w:p w14:paraId="4158B552" w14:textId="77777777" w:rsidR="00E72A58" w:rsidRDefault="00E72A58"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E566" w14:textId="77777777" w:rsidR="007E4924" w:rsidRDefault="007E49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AA33" w14:textId="77777777" w:rsidR="007E4924" w:rsidRDefault="007E49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FE0D" w14:textId="77777777" w:rsidR="007E4924" w:rsidRDefault="007E49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002F3"/>
    <w:multiLevelType w:val="multilevel"/>
    <w:tmpl w:val="806C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64AAB"/>
    <w:rsid w:val="00490356"/>
    <w:rsid w:val="004C406B"/>
    <w:rsid w:val="004C678E"/>
    <w:rsid w:val="004F65E7"/>
    <w:rsid w:val="005219A2"/>
    <w:rsid w:val="005223DF"/>
    <w:rsid w:val="005525A2"/>
    <w:rsid w:val="005B0FE9"/>
    <w:rsid w:val="006A41C3"/>
    <w:rsid w:val="006C0461"/>
    <w:rsid w:val="006D1A7F"/>
    <w:rsid w:val="006F3FD5"/>
    <w:rsid w:val="00727037"/>
    <w:rsid w:val="007960B0"/>
    <w:rsid w:val="007A1C13"/>
    <w:rsid w:val="007C220B"/>
    <w:rsid w:val="007D30FD"/>
    <w:rsid w:val="007E4924"/>
    <w:rsid w:val="007F167D"/>
    <w:rsid w:val="007F5F15"/>
    <w:rsid w:val="00810C56"/>
    <w:rsid w:val="00817572"/>
    <w:rsid w:val="00854B75"/>
    <w:rsid w:val="008F35C4"/>
    <w:rsid w:val="009332A3"/>
    <w:rsid w:val="009343DC"/>
    <w:rsid w:val="009B3CE7"/>
    <w:rsid w:val="009C369D"/>
    <w:rsid w:val="009C7B70"/>
    <w:rsid w:val="00A05842"/>
    <w:rsid w:val="00A128E2"/>
    <w:rsid w:val="00A902CE"/>
    <w:rsid w:val="00B11C31"/>
    <w:rsid w:val="00B24E5C"/>
    <w:rsid w:val="00B66792"/>
    <w:rsid w:val="00B92088"/>
    <w:rsid w:val="00C17BCB"/>
    <w:rsid w:val="00C7101C"/>
    <w:rsid w:val="00CC2A4F"/>
    <w:rsid w:val="00CD013E"/>
    <w:rsid w:val="00D104FC"/>
    <w:rsid w:val="00D13383"/>
    <w:rsid w:val="00D457FF"/>
    <w:rsid w:val="00D53225"/>
    <w:rsid w:val="00D7606C"/>
    <w:rsid w:val="00D9460B"/>
    <w:rsid w:val="00DB14F8"/>
    <w:rsid w:val="00DB32A1"/>
    <w:rsid w:val="00DC72E4"/>
    <w:rsid w:val="00E022E8"/>
    <w:rsid w:val="00E72A5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81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6136">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776563869">
      <w:bodyDiv w:val="1"/>
      <w:marLeft w:val="0"/>
      <w:marRight w:val="0"/>
      <w:marTop w:val="0"/>
      <w:marBottom w:val="0"/>
      <w:divBdr>
        <w:top w:val="none" w:sz="0" w:space="0" w:color="auto"/>
        <w:left w:val="none" w:sz="0" w:space="0" w:color="auto"/>
        <w:bottom w:val="none" w:sz="0" w:space="0" w:color="auto"/>
        <w:right w:val="none" w:sz="0" w:space="0" w:color="auto"/>
      </w:divBdr>
    </w:div>
    <w:div w:id="1162814289">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36354798">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E4D7-F326-4BAA-A8E8-D423A1DC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2023-03-17T06:06:00Z</cp:lastPrinted>
  <dcterms:created xsi:type="dcterms:W3CDTF">2024-02-08T05:19:00Z</dcterms:created>
  <dcterms:modified xsi:type="dcterms:W3CDTF">2024-02-08T05:26:00Z</dcterms:modified>
</cp:coreProperties>
</file>