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44D3" w14:textId="77777777" w:rsidR="00F27AA1" w:rsidRPr="008E7DA8" w:rsidRDefault="00F27AA1" w:rsidP="00F630A2">
      <w:pPr>
        <w:spacing w:after="0" w:line="276" w:lineRule="auto"/>
        <w:jc w:val="center"/>
        <w:rPr>
          <w:rFonts w:ascii="Times New Roman" w:hAnsi="Times New Roman" w:cs="Times New Roman"/>
          <w:b/>
          <w:szCs w:val="24"/>
        </w:rPr>
      </w:pPr>
      <w:r w:rsidRPr="008E7DA8">
        <w:rPr>
          <w:rFonts w:ascii="Times New Roman" w:hAnsi="Times New Roman" w:cs="Times New Roman"/>
          <w:b/>
          <w:szCs w:val="24"/>
        </w:rPr>
        <w:t>NATIONAL SANCTIONS SECRETARIAT</w:t>
      </w:r>
    </w:p>
    <w:p w14:paraId="500A5BB1" w14:textId="77777777" w:rsidR="009E5584" w:rsidRDefault="009E5584" w:rsidP="00F630A2">
      <w:pPr>
        <w:spacing w:after="0" w:line="276" w:lineRule="auto"/>
        <w:jc w:val="center"/>
        <w:rPr>
          <w:rFonts w:ascii="Times New Roman" w:hAnsi="Times New Roman" w:cs="Times New Roman"/>
          <w:b/>
          <w:szCs w:val="24"/>
        </w:rPr>
      </w:pPr>
    </w:p>
    <w:p w14:paraId="55C03422" w14:textId="165B8502" w:rsidR="00F27AA1" w:rsidRPr="008E7DA8" w:rsidRDefault="00F27AA1" w:rsidP="00F630A2">
      <w:pPr>
        <w:spacing w:after="0" w:line="276" w:lineRule="auto"/>
        <w:jc w:val="center"/>
        <w:rPr>
          <w:rFonts w:ascii="Times New Roman" w:hAnsi="Times New Roman" w:cs="Times New Roman"/>
          <w:b/>
          <w:szCs w:val="24"/>
        </w:rPr>
      </w:pPr>
      <w:r w:rsidRPr="008E7DA8">
        <w:rPr>
          <w:rFonts w:ascii="Times New Roman" w:hAnsi="Times New Roman" w:cs="Times New Roman"/>
          <w:b/>
          <w:szCs w:val="24"/>
        </w:rPr>
        <w:t>Notice under section 18(1)</w:t>
      </w:r>
      <w:r w:rsidR="001B28A7" w:rsidRPr="008E7DA8">
        <w:rPr>
          <w:rFonts w:ascii="Times New Roman" w:hAnsi="Times New Roman" w:cs="Times New Roman"/>
          <w:b/>
          <w:szCs w:val="24"/>
        </w:rPr>
        <w:t xml:space="preserve"> </w:t>
      </w:r>
      <w:r w:rsidRPr="008E7DA8">
        <w:rPr>
          <w:rFonts w:ascii="Times New Roman" w:hAnsi="Times New Roman" w:cs="Times New Roman"/>
          <w:b/>
          <w:szCs w:val="24"/>
        </w:rPr>
        <w:t>(a) of the United Nations (Financial Prohibitions, Arms Embargo and Travel Ban) Sanctions Act 2019</w:t>
      </w:r>
    </w:p>
    <w:p w14:paraId="2DC269A4" w14:textId="77777777" w:rsidR="009E5584" w:rsidRDefault="009E5584" w:rsidP="00F630A2">
      <w:pPr>
        <w:spacing w:after="0" w:line="276" w:lineRule="auto"/>
        <w:ind w:right="-421"/>
        <w:jc w:val="center"/>
        <w:rPr>
          <w:rFonts w:ascii="Times New Roman" w:hAnsi="Times New Roman" w:cs="Times New Roman"/>
          <w:b/>
          <w:szCs w:val="24"/>
          <w:u w:val="single"/>
        </w:rPr>
      </w:pPr>
    </w:p>
    <w:p w14:paraId="499CE241" w14:textId="619BB6D8" w:rsidR="00F27AA1" w:rsidRPr="008E7DA8" w:rsidRDefault="00F27AA1" w:rsidP="00F630A2">
      <w:pPr>
        <w:spacing w:after="0" w:line="276" w:lineRule="auto"/>
        <w:ind w:right="-421"/>
        <w:jc w:val="center"/>
        <w:rPr>
          <w:rFonts w:ascii="Times New Roman" w:hAnsi="Times New Roman" w:cs="Times New Roman"/>
          <w:b/>
          <w:bCs/>
          <w:szCs w:val="24"/>
          <w:u w:val="single"/>
          <w:lang w:val="en-MU"/>
        </w:rPr>
      </w:pPr>
      <w:r w:rsidRPr="008E7DA8">
        <w:rPr>
          <w:rFonts w:ascii="Times New Roman" w:hAnsi="Times New Roman" w:cs="Times New Roman"/>
          <w:b/>
          <w:szCs w:val="24"/>
          <w:u w:val="single"/>
        </w:rPr>
        <w:t xml:space="preserve">Addition of </w:t>
      </w:r>
      <w:r w:rsidR="008E7DA8" w:rsidRPr="008E7DA8">
        <w:rPr>
          <w:rFonts w:ascii="Times New Roman" w:hAnsi="Times New Roman" w:cs="Times New Roman"/>
          <w:b/>
          <w:szCs w:val="24"/>
          <w:u w:val="single"/>
        </w:rPr>
        <w:t>One Entry</w:t>
      </w:r>
      <w:r w:rsidR="008F35C4" w:rsidRPr="008E7DA8">
        <w:rPr>
          <w:rFonts w:ascii="Times New Roman" w:hAnsi="Times New Roman" w:cs="Times New Roman"/>
          <w:b/>
          <w:szCs w:val="24"/>
          <w:u w:val="single"/>
        </w:rPr>
        <w:t xml:space="preserve"> </w:t>
      </w:r>
      <w:r w:rsidRPr="008E7DA8">
        <w:rPr>
          <w:rFonts w:ascii="Times New Roman" w:hAnsi="Times New Roman" w:cs="Times New Roman"/>
          <w:b/>
          <w:szCs w:val="24"/>
          <w:u w:val="single"/>
        </w:rPr>
        <w:t xml:space="preserve">to the </w:t>
      </w:r>
      <w:r w:rsidR="008E7DA8" w:rsidRPr="008E7DA8">
        <w:rPr>
          <w:rFonts w:ascii="Times New Roman" w:hAnsi="Times New Roman" w:cs="Times New Roman"/>
          <w:b/>
          <w:bCs/>
          <w:szCs w:val="24"/>
          <w:u w:val="single"/>
          <w:lang w:val="en-MU"/>
        </w:rPr>
        <w:t xml:space="preserve">ISIL (Da’esh) and Al-Qaida Sanctions List </w:t>
      </w:r>
    </w:p>
    <w:p w14:paraId="22A0B2A7" w14:textId="77777777" w:rsidR="00F27AA1" w:rsidRPr="008E7DA8" w:rsidRDefault="00F27AA1" w:rsidP="00F630A2">
      <w:pPr>
        <w:spacing w:after="0" w:line="276" w:lineRule="auto"/>
        <w:ind w:right="-421"/>
        <w:jc w:val="right"/>
        <w:rPr>
          <w:rFonts w:ascii="Times New Roman" w:hAnsi="Times New Roman" w:cs="Times New Roman"/>
          <w:b/>
          <w:szCs w:val="24"/>
        </w:rPr>
      </w:pPr>
    </w:p>
    <w:p w14:paraId="09F27EBF" w14:textId="3C365C04" w:rsidR="008F51CC" w:rsidRPr="008E7DA8" w:rsidRDefault="00F27AA1" w:rsidP="00F630A2">
      <w:pPr>
        <w:spacing w:after="0" w:line="276" w:lineRule="auto"/>
        <w:jc w:val="both"/>
        <w:rPr>
          <w:rFonts w:ascii="Times New Roman" w:hAnsi="Times New Roman" w:cs="Times New Roman"/>
          <w:szCs w:val="24"/>
        </w:rPr>
      </w:pPr>
      <w:r w:rsidRPr="008E7DA8">
        <w:rPr>
          <w:rFonts w:ascii="Times New Roman" w:hAnsi="Times New Roman" w:cs="Times New Roman"/>
          <w:szCs w:val="24"/>
        </w:rPr>
        <w:t xml:space="preserve">Notice is hereby given that on </w:t>
      </w:r>
      <w:r w:rsidR="008E7DA8" w:rsidRPr="008E7DA8">
        <w:rPr>
          <w:rFonts w:ascii="Times New Roman" w:hAnsi="Times New Roman" w:cs="Times New Roman"/>
          <w:b/>
          <w:szCs w:val="24"/>
        </w:rPr>
        <w:t>16 June 2025</w:t>
      </w:r>
      <w:r w:rsidR="005962D3" w:rsidRPr="008E7DA8">
        <w:rPr>
          <w:rFonts w:ascii="Times New Roman" w:hAnsi="Times New Roman" w:cs="Times New Roman"/>
          <w:b/>
          <w:szCs w:val="24"/>
        </w:rPr>
        <w:t xml:space="preserve">, </w:t>
      </w:r>
      <w:r w:rsidR="005962D3" w:rsidRPr="008E7DA8">
        <w:rPr>
          <w:rFonts w:ascii="Times New Roman" w:hAnsi="Times New Roman" w:cs="Times New Roman"/>
          <w:szCs w:val="24"/>
        </w:rPr>
        <w:t xml:space="preserve">the United Nations Security Council Committee pursuant to </w:t>
      </w:r>
      <w:r w:rsidR="005962D3" w:rsidRPr="008E7DA8">
        <w:rPr>
          <w:rFonts w:ascii="Times New Roman" w:hAnsi="Times New Roman" w:cs="Times New Roman"/>
          <w:b/>
          <w:szCs w:val="24"/>
        </w:rPr>
        <w:t>resolution</w:t>
      </w:r>
      <w:r w:rsidR="008E7DA8" w:rsidRPr="008E7DA8">
        <w:rPr>
          <w:rFonts w:ascii="Times New Roman" w:hAnsi="Times New Roman" w:cs="Times New Roman"/>
          <w:b/>
          <w:szCs w:val="24"/>
        </w:rPr>
        <w:t>s</w:t>
      </w:r>
      <w:r w:rsidR="005962D3" w:rsidRPr="008E7DA8">
        <w:rPr>
          <w:rFonts w:ascii="Times New Roman" w:hAnsi="Times New Roman" w:cs="Times New Roman"/>
          <w:b/>
          <w:szCs w:val="24"/>
        </w:rPr>
        <w:t xml:space="preserve"> </w:t>
      </w:r>
      <w:r w:rsidR="008E7DA8" w:rsidRPr="008E7DA8">
        <w:rPr>
          <w:rFonts w:ascii="Times New Roman" w:hAnsi="Times New Roman" w:cs="Times New Roman"/>
          <w:b/>
          <w:szCs w:val="24"/>
        </w:rPr>
        <w:t>1267</w:t>
      </w:r>
      <w:r w:rsidR="002E7756" w:rsidRPr="008E7DA8">
        <w:rPr>
          <w:rFonts w:ascii="Times New Roman" w:hAnsi="Times New Roman" w:cs="Times New Roman"/>
          <w:b/>
          <w:szCs w:val="24"/>
        </w:rPr>
        <w:t xml:space="preserve"> (</w:t>
      </w:r>
      <w:r w:rsidR="008E7DA8" w:rsidRPr="008E7DA8">
        <w:rPr>
          <w:rFonts w:ascii="Times New Roman" w:hAnsi="Times New Roman" w:cs="Times New Roman"/>
          <w:b/>
          <w:szCs w:val="24"/>
        </w:rPr>
        <w:t>1999</w:t>
      </w:r>
      <w:r w:rsidR="002E7756" w:rsidRPr="008E7DA8">
        <w:rPr>
          <w:rFonts w:ascii="Times New Roman" w:hAnsi="Times New Roman" w:cs="Times New Roman"/>
          <w:b/>
          <w:szCs w:val="24"/>
        </w:rPr>
        <w:t>)</w:t>
      </w:r>
      <w:r w:rsidR="008E7DA8" w:rsidRPr="008E7DA8">
        <w:rPr>
          <w:rFonts w:ascii="Times New Roman" w:hAnsi="Times New Roman" w:cs="Times New Roman"/>
          <w:b/>
          <w:szCs w:val="24"/>
        </w:rPr>
        <w:t>, 1989 (2011) and 2253 (2015)</w:t>
      </w:r>
      <w:r w:rsidR="008F51CC" w:rsidRPr="008E7DA8">
        <w:rPr>
          <w:rFonts w:ascii="Times New Roman" w:hAnsi="Times New Roman" w:cs="Times New Roman"/>
          <w:szCs w:val="24"/>
        </w:rPr>
        <w:t xml:space="preserve"> </w:t>
      </w:r>
      <w:r w:rsidR="000248D5" w:rsidRPr="008E7DA8">
        <w:rPr>
          <w:rFonts w:ascii="Times New Roman" w:hAnsi="Times New Roman" w:cs="Times New Roman"/>
          <w:szCs w:val="24"/>
        </w:rPr>
        <w:t>concern</w:t>
      </w:r>
      <w:r w:rsidR="006C322C" w:rsidRPr="008E7DA8">
        <w:rPr>
          <w:rFonts w:ascii="Times New Roman" w:hAnsi="Times New Roman" w:cs="Times New Roman"/>
          <w:szCs w:val="24"/>
        </w:rPr>
        <w:t>ing</w:t>
      </w:r>
      <w:r w:rsidR="000248D5" w:rsidRPr="008E7DA8">
        <w:rPr>
          <w:rFonts w:ascii="Times New Roman" w:hAnsi="Times New Roman" w:cs="Times New Roman"/>
          <w:szCs w:val="24"/>
        </w:rPr>
        <w:t xml:space="preserve"> </w:t>
      </w:r>
      <w:r w:rsidR="008E7DA8" w:rsidRPr="008E7DA8">
        <w:rPr>
          <w:rFonts w:ascii="Times New Roman" w:hAnsi="Times New Roman" w:cs="Times New Roman"/>
          <w:szCs w:val="24"/>
        </w:rPr>
        <w:t>ISIL (Da’esh), Al-Qaida and associated individuals, groups</w:t>
      </w:r>
      <w:r w:rsidR="001D4583">
        <w:rPr>
          <w:rFonts w:ascii="Times New Roman" w:hAnsi="Times New Roman" w:cs="Times New Roman"/>
          <w:szCs w:val="24"/>
        </w:rPr>
        <w:t>, undertakings and entities</w:t>
      </w:r>
      <w:r w:rsidR="008E7DA8" w:rsidRPr="008E7DA8">
        <w:rPr>
          <w:rFonts w:ascii="Times New Roman" w:hAnsi="Times New Roman" w:cs="Times New Roman"/>
          <w:szCs w:val="24"/>
        </w:rPr>
        <w:t xml:space="preserve"> </w:t>
      </w:r>
      <w:r w:rsidR="005962D3" w:rsidRPr="008E7DA8">
        <w:rPr>
          <w:rFonts w:ascii="Times New Roman" w:hAnsi="Times New Roman" w:cs="Times New Roman"/>
          <w:szCs w:val="24"/>
        </w:rPr>
        <w:t xml:space="preserve">approved </w:t>
      </w:r>
      <w:r w:rsidR="005962D3" w:rsidRPr="008E7DA8">
        <w:rPr>
          <w:rFonts w:ascii="Times New Roman" w:hAnsi="Times New Roman" w:cs="Times New Roman"/>
          <w:b/>
          <w:szCs w:val="24"/>
        </w:rPr>
        <w:t>the addition</w:t>
      </w:r>
      <w:r w:rsidR="005962D3" w:rsidRPr="008E7DA8">
        <w:rPr>
          <w:rFonts w:ascii="Times New Roman" w:hAnsi="Times New Roman" w:cs="Times New Roman"/>
          <w:szCs w:val="24"/>
        </w:rPr>
        <w:t xml:space="preserve"> of the entr</w:t>
      </w:r>
      <w:r w:rsidR="008E7DA8" w:rsidRPr="008E7DA8">
        <w:rPr>
          <w:rFonts w:ascii="Times New Roman" w:hAnsi="Times New Roman" w:cs="Times New Roman"/>
          <w:szCs w:val="24"/>
        </w:rPr>
        <w:t>y</w:t>
      </w:r>
      <w:r w:rsidR="005962D3" w:rsidRPr="008E7DA8">
        <w:rPr>
          <w:rFonts w:ascii="Times New Roman" w:hAnsi="Times New Roman" w:cs="Times New Roman"/>
          <w:szCs w:val="24"/>
        </w:rPr>
        <w:t xml:space="preserve"> specified below to its </w:t>
      </w:r>
      <w:r w:rsidR="008E7DA8" w:rsidRPr="008E7DA8">
        <w:rPr>
          <w:rFonts w:ascii="Times New Roman" w:hAnsi="Times New Roman" w:cs="Times New Roman"/>
          <w:szCs w:val="24"/>
        </w:rPr>
        <w:t>ISIL (Da’esh) and Al-Qaida Sanctions List of individuals and entities subject to the assets freeze, travel ban and arms embargo set out in paragraph 1 of Security Council resolution 2734 (2024) and adopted under Chapter VII of the Charter of the United Nations</w:t>
      </w:r>
      <w:r w:rsidR="00675557" w:rsidRPr="008E7DA8">
        <w:rPr>
          <w:rFonts w:ascii="Times New Roman" w:hAnsi="Times New Roman" w:cs="Times New Roman"/>
          <w:szCs w:val="24"/>
        </w:rPr>
        <w:t>:</w:t>
      </w:r>
    </w:p>
    <w:p w14:paraId="6166AAAD" w14:textId="77777777" w:rsidR="00F630A2" w:rsidRDefault="00F630A2" w:rsidP="00F630A2">
      <w:pPr>
        <w:shd w:val="clear" w:color="auto" w:fill="FFFFFF"/>
        <w:spacing w:after="0" w:line="276" w:lineRule="auto"/>
        <w:jc w:val="both"/>
        <w:rPr>
          <w:rFonts w:ascii="Times New Roman" w:eastAsia="Times New Roman" w:hAnsi="Times New Roman" w:cs="Times New Roman"/>
          <w:b/>
          <w:bCs/>
          <w:szCs w:val="24"/>
        </w:rPr>
      </w:pPr>
    </w:p>
    <w:p w14:paraId="46F44711" w14:textId="221A2E15" w:rsidR="00C724E1" w:rsidRDefault="00EA48C7" w:rsidP="00F630A2">
      <w:pPr>
        <w:shd w:val="clear" w:color="auto" w:fill="FFFFFF"/>
        <w:spacing w:after="0" w:line="276" w:lineRule="auto"/>
        <w:jc w:val="both"/>
        <w:rPr>
          <w:rFonts w:ascii="Times New Roman" w:eastAsia="Times New Roman" w:hAnsi="Times New Roman" w:cs="Times New Roman"/>
          <w:b/>
          <w:bCs/>
          <w:szCs w:val="24"/>
          <w:u w:val="single"/>
        </w:rPr>
      </w:pPr>
      <w:r w:rsidRPr="008E7DA8">
        <w:rPr>
          <w:rFonts w:ascii="Times New Roman" w:eastAsia="Times New Roman" w:hAnsi="Times New Roman" w:cs="Times New Roman"/>
          <w:b/>
          <w:bCs/>
          <w:szCs w:val="24"/>
        </w:rPr>
        <w:t>A. </w:t>
      </w:r>
      <w:r w:rsidRPr="008E7DA8">
        <w:rPr>
          <w:rFonts w:ascii="Times New Roman" w:eastAsia="Times New Roman" w:hAnsi="Times New Roman" w:cs="Times New Roman"/>
          <w:b/>
          <w:bCs/>
          <w:szCs w:val="24"/>
          <w:u w:val="single"/>
        </w:rPr>
        <w:t>Individuals</w:t>
      </w:r>
    </w:p>
    <w:p w14:paraId="1ACA9C78" w14:textId="77777777" w:rsidR="0061118F" w:rsidRPr="008E7DA8" w:rsidRDefault="0061118F" w:rsidP="00F630A2">
      <w:pPr>
        <w:shd w:val="clear" w:color="auto" w:fill="FFFFFF"/>
        <w:spacing w:after="0" w:line="276" w:lineRule="auto"/>
        <w:jc w:val="both"/>
        <w:rPr>
          <w:rFonts w:ascii="Times New Roman" w:eastAsia="Times New Roman" w:hAnsi="Times New Roman" w:cs="Times New Roman"/>
          <w:szCs w:val="24"/>
        </w:rPr>
      </w:pPr>
    </w:p>
    <w:p w14:paraId="6B6723CD" w14:textId="3E15CACF" w:rsidR="00C724E1" w:rsidRDefault="008E7DA8" w:rsidP="00F630A2">
      <w:pPr>
        <w:shd w:val="clear" w:color="auto" w:fill="FFFFFF"/>
        <w:spacing w:after="0" w:line="276" w:lineRule="auto"/>
        <w:jc w:val="both"/>
        <w:rPr>
          <w:rFonts w:ascii="Times New Roman" w:eastAsia="Times New Roman" w:hAnsi="Times New Roman" w:cs="Times New Roman"/>
          <w:szCs w:val="24"/>
        </w:rPr>
      </w:pPr>
      <w:r w:rsidRPr="008E7DA8">
        <w:rPr>
          <w:rFonts w:ascii="Times New Roman" w:eastAsia="Times New Roman" w:hAnsi="Times New Roman" w:cs="Times New Roman"/>
          <w:b/>
          <w:bCs/>
          <w:szCs w:val="24"/>
        </w:rPr>
        <w:t>QDi.436 Name</w:t>
      </w:r>
      <w:r w:rsidR="00C724E1" w:rsidRPr="008E7DA8">
        <w:rPr>
          <w:rFonts w:ascii="Times New Roman" w:eastAsia="Times New Roman" w:hAnsi="Times New Roman" w:cs="Times New Roman"/>
          <w:b/>
          <w:bCs/>
          <w:szCs w:val="24"/>
        </w:rPr>
        <w:t xml:space="preserve">: 1: </w:t>
      </w:r>
      <w:r w:rsidRPr="0061118F">
        <w:rPr>
          <w:rFonts w:ascii="Times New Roman" w:eastAsia="Times New Roman" w:hAnsi="Times New Roman" w:cs="Times New Roman"/>
          <w:szCs w:val="24"/>
        </w:rPr>
        <w:t>ABUBAKAR</w:t>
      </w:r>
      <w:r w:rsidRPr="008E7DA8">
        <w:rPr>
          <w:rFonts w:ascii="Times New Roman" w:eastAsia="Times New Roman" w:hAnsi="Times New Roman" w:cs="Times New Roman"/>
          <w:b/>
          <w:bCs/>
          <w:szCs w:val="24"/>
        </w:rPr>
        <w:t xml:space="preserve"> 2: </w:t>
      </w:r>
      <w:r w:rsidRPr="0061118F">
        <w:rPr>
          <w:rFonts w:ascii="Times New Roman" w:eastAsia="Times New Roman" w:hAnsi="Times New Roman" w:cs="Times New Roman"/>
          <w:szCs w:val="24"/>
        </w:rPr>
        <w:t>SWALLEH</w:t>
      </w:r>
    </w:p>
    <w:p w14:paraId="58C2380C" w14:textId="61DD47BE" w:rsidR="0061118F" w:rsidRPr="0061118F" w:rsidRDefault="0061118F" w:rsidP="00F630A2">
      <w:pPr>
        <w:shd w:val="clear" w:color="auto" w:fill="FFFFFF"/>
        <w:spacing w:after="0" w:line="276" w:lineRule="auto"/>
        <w:jc w:val="both"/>
        <w:rPr>
          <w:rFonts w:ascii="Times New Roman" w:eastAsia="Times New Roman" w:hAnsi="Times New Roman" w:cs="Times New Roman"/>
          <w:b/>
          <w:bCs/>
          <w:szCs w:val="24"/>
        </w:rPr>
      </w:pPr>
      <w:r w:rsidRPr="0061118F">
        <w:rPr>
          <w:rFonts w:ascii="Times New Roman" w:eastAsia="Times New Roman" w:hAnsi="Times New Roman" w:cs="Times New Roman"/>
          <w:b/>
          <w:bCs/>
          <w:szCs w:val="24"/>
        </w:rPr>
        <w:t>Name (original script)</w:t>
      </w:r>
      <w:r>
        <w:rPr>
          <w:rFonts w:ascii="Times New Roman" w:eastAsia="Times New Roman" w:hAnsi="Times New Roman" w:cs="Times New Roman"/>
          <w:b/>
          <w:bCs/>
          <w:szCs w:val="24"/>
        </w:rPr>
        <w:t xml:space="preserve"> :</w:t>
      </w:r>
      <w:proofErr w:type="spellStart"/>
      <w:r w:rsidRPr="0061118F">
        <w:rPr>
          <w:rFonts w:ascii="Times New Roman" w:eastAsia="Times New Roman" w:hAnsi="Times New Roman" w:cs="Times New Roman"/>
          <w:szCs w:val="24"/>
        </w:rPr>
        <w:t>na</w:t>
      </w:r>
      <w:proofErr w:type="spellEnd"/>
    </w:p>
    <w:p w14:paraId="5F0E5525" w14:textId="6E9ECB85" w:rsidR="00727A9C" w:rsidRPr="008E7DA8" w:rsidRDefault="00C724E1" w:rsidP="00F630A2">
      <w:pPr>
        <w:shd w:val="clear" w:color="auto" w:fill="FFFFFF"/>
        <w:spacing w:after="0" w:line="276" w:lineRule="auto"/>
        <w:jc w:val="both"/>
        <w:rPr>
          <w:rFonts w:ascii="Times New Roman" w:hAnsi="Times New Roman" w:cs="Times New Roman"/>
          <w:szCs w:val="24"/>
        </w:rPr>
      </w:pPr>
      <w:r w:rsidRPr="008E7DA8">
        <w:rPr>
          <w:rFonts w:ascii="Times New Roman" w:eastAsia="Times New Roman" w:hAnsi="Times New Roman" w:cs="Times New Roman"/>
          <w:b/>
          <w:bCs/>
          <w:szCs w:val="24"/>
        </w:rPr>
        <w:t xml:space="preserve">Title: </w:t>
      </w:r>
      <w:proofErr w:type="spellStart"/>
      <w:r w:rsidR="0061118F">
        <w:rPr>
          <w:rFonts w:ascii="Times New Roman" w:eastAsia="Times New Roman" w:hAnsi="Times New Roman" w:cs="Times New Roman"/>
          <w:szCs w:val="24"/>
        </w:rPr>
        <w:t>na</w:t>
      </w:r>
      <w:proofErr w:type="spellEnd"/>
      <w:r w:rsidRPr="008E7DA8">
        <w:rPr>
          <w:rFonts w:ascii="Times New Roman" w:eastAsia="Times New Roman" w:hAnsi="Times New Roman" w:cs="Times New Roman"/>
          <w:b/>
          <w:bCs/>
          <w:szCs w:val="24"/>
        </w:rPr>
        <w:t xml:space="preserve"> Designation: </w:t>
      </w:r>
      <w:proofErr w:type="spellStart"/>
      <w:r w:rsidR="0061118F">
        <w:rPr>
          <w:rFonts w:ascii="Times New Roman" w:eastAsia="Times New Roman" w:hAnsi="Times New Roman" w:cs="Times New Roman"/>
          <w:szCs w:val="24"/>
        </w:rPr>
        <w:t>na</w:t>
      </w:r>
      <w:proofErr w:type="spellEnd"/>
      <w:r w:rsidR="008E7DA8" w:rsidRPr="008E7DA8">
        <w:rPr>
          <w:rFonts w:ascii="Times New Roman" w:eastAsia="Times New Roman" w:hAnsi="Times New Roman" w:cs="Times New Roman"/>
          <w:b/>
          <w:bCs/>
          <w:szCs w:val="24"/>
        </w:rPr>
        <w:t xml:space="preserve"> </w:t>
      </w:r>
      <w:r w:rsidRPr="008E7DA8">
        <w:rPr>
          <w:rFonts w:ascii="Times New Roman" w:eastAsia="Times New Roman" w:hAnsi="Times New Roman" w:cs="Times New Roman"/>
          <w:b/>
          <w:bCs/>
          <w:szCs w:val="24"/>
        </w:rPr>
        <w:t xml:space="preserve">DOB: </w:t>
      </w:r>
      <w:r w:rsidR="008E7DA8" w:rsidRPr="008E7DA8">
        <w:rPr>
          <w:rFonts w:ascii="Times New Roman" w:eastAsia="Times New Roman" w:hAnsi="Times New Roman" w:cs="Times New Roman"/>
          <w:szCs w:val="24"/>
        </w:rPr>
        <w:t>13 Jan. 1992</w:t>
      </w:r>
      <w:r w:rsidR="008E7DA8" w:rsidRPr="008E7DA8">
        <w:rPr>
          <w:rFonts w:ascii="Times New Roman" w:eastAsia="Times New Roman" w:hAnsi="Times New Roman" w:cs="Times New Roman"/>
          <w:b/>
          <w:bCs/>
          <w:szCs w:val="24"/>
        </w:rPr>
        <w:t xml:space="preserve"> </w:t>
      </w:r>
      <w:r w:rsidRPr="008E7DA8">
        <w:rPr>
          <w:rFonts w:ascii="Times New Roman" w:eastAsia="Times New Roman" w:hAnsi="Times New Roman" w:cs="Times New Roman"/>
          <w:b/>
          <w:bCs/>
          <w:szCs w:val="24"/>
        </w:rPr>
        <w:t xml:space="preserve">POB: </w:t>
      </w:r>
      <w:r w:rsidR="008E7DA8" w:rsidRPr="008E7DA8">
        <w:rPr>
          <w:rFonts w:ascii="Times New Roman" w:eastAsia="Times New Roman" w:hAnsi="Times New Roman" w:cs="Times New Roman"/>
          <w:szCs w:val="24"/>
        </w:rPr>
        <w:t>Mengo, Uganda</w:t>
      </w:r>
      <w:r w:rsidRPr="008E7DA8">
        <w:rPr>
          <w:rFonts w:ascii="Times New Roman" w:eastAsia="Times New Roman" w:hAnsi="Times New Roman" w:cs="Times New Roman"/>
          <w:b/>
          <w:bCs/>
          <w:szCs w:val="24"/>
        </w:rPr>
        <w:t xml:space="preserve"> </w:t>
      </w:r>
      <w:r w:rsidR="008E7DA8" w:rsidRPr="008E7DA8">
        <w:rPr>
          <w:rFonts w:ascii="Times New Roman" w:hAnsi="Times New Roman" w:cs="Times New Roman"/>
          <w:b/>
          <w:bCs/>
          <w:szCs w:val="24"/>
        </w:rPr>
        <w:t>Good quality a.k.a.:</w:t>
      </w:r>
      <w:r w:rsidR="008E7DA8" w:rsidRPr="008E7DA8">
        <w:rPr>
          <w:rFonts w:ascii="Times New Roman" w:hAnsi="Times New Roman" w:cs="Times New Roman"/>
          <w:szCs w:val="24"/>
        </w:rPr>
        <w:t xml:space="preserve"> </w:t>
      </w:r>
      <w:r w:rsidR="008E7DA8" w:rsidRPr="008E7DA8">
        <w:rPr>
          <w:rFonts w:ascii="Times New Roman" w:hAnsi="Times New Roman" w:cs="Times New Roman"/>
          <w:b/>
          <w:bCs/>
          <w:szCs w:val="24"/>
        </w:rPr>
        <w:t>a)</w:t>
      </w:r>
      <w:r w:rsidR="008E7DA8" w:rsidRPr="008E7DA8">
        <w:rPr>
          <w:rFonts w:ascii="Times New Roman" w:hAnsi="Times New Roman" w:cs="Times New Roman"/>
          <w:szCs w:val="24"/>
        </w:rPr>
        <w:t xml:space="preserve"> ABUBAKER SWALEH </w:t>
      </w:r>
      <w:r w:rsidR="008E7DA8" w:rsidRPr="008E7DA8">
        <w:rPr>
          <w:rFonts w:ascii="Times New Roman" w:hAnsi="Times New Roman" w:cs="Times New Roman"/>
          <w:b/>
          <w:bCs/>
          <w:szCs w:val="24"/>
        </w:rPr>
        <w:t>b</w:t>
      </w:r>
      <w:r w:rsidR="008E7DA8" w:rsidRPr="008E7DA8">
        <w:rPr>
          <w:rFonts w:ascii="Times New Roman" w:hAnsi="Times New Roman" w:cs="Times New Roman"/>
          <w:szCs w:val="24"/>
        </w:rPr>
        <w:t xml:space="preserve">) TOM KIYURIGE </w:t>
      </w:r>
      <w:r w:rsidR="008E7DA8" w:rsidRPr="008E7DA8">
        <w:rPr>
          <w:rFonts w:ascii="Times New Roman" w:hAnsi="Times New Roman" w:cs="Times New Roman"/>
          <w:b/>
          <w:bCs/>
          <w:szCs w:val="24"/>
        </w:rPr>
        <w:t>Low quality a.k.a.:</w:t>
      </w:r>
      <w:r w:rsidR="008E7DA8" w:rsidRPr="008E7DA8">
        <w:rPr>
          <w:rFonts w:ascii="Times New Roman" w:hAnsi="Times New Roman" w:cs="Times New Roman"/>
          <w:szCs w:val="24"/>
        </w:rPr>
        <w:t xml:space="preserve"> </w:t>
      </w:r>
      <w:proofErr w:type="spellStart"/>
      <w:r w:rsidR="008E7DA8" w:rsidRPr="008E7DA8">
        <w:rPr>
          <w:rFonts w:ascii="Times New Roman" w:hAnsi="Times New Roman" w:cs="Times New Roman"/>
          <w:szCs w:val="24"/>
        </w:rPr>
        <w:t>na</w:t>
      </w:r>
      <w:proofErr w:type="spellEnd"/>
      <w:r w:rsidR="008E7DA8" w:rsidRPr="008E7DA8">
        <w:rPr>
          <w:rFonts w:ascii="Times New Roman" w:hAnsi="Times New Roman" w:cs="Times New Roman"/>
          <w:szCs w:val="24"/>
        </w:rPr>
        <w:t xml:space="preserve"> </w:t>
      </w:r>
      <w:r w:rsidR="008E7DA8" w:rsidRPr="008E7DA8">
        <w:rPr>
          <w:rFonts w:ascii="Times New Roman" w:hAnsi="Times New Roman" w:cs="Times New Roman"/>
          <w:b/>
          <w:bCs/>
          <w:szCs w:val="24"/>
        </w:rPr>
        <w:t>Nationality:</w:t>
      </w:r>
      <w:r w:rsidR="008E7DA8" w:rsidRPr="008E7DA8">
        <w:rPr>
          <w:rFonts w:ascii="Times New Roman" w:hAnsi="Times New Roman" w:cs="Times New Roman"/>
          <w:szCs w:val="24"/>
        </w:rPr>
        <w:t xml:space="preserve"> Uganda </w:t>
      </w:r>
      <w:r w:rsidR="008E7DA8" w:rsidRPr="008E7DA8">
        <w:rPr>
          <w:rFonts w:ascii="Times New Roman" w:hAnsi="Times New Roman" w:cs="Times New Roman"/>
          <w:b/>
          <w:bCs/>
          <w:szCs w:val="24"/>
        </w:rPr>
        <w:t>Passport no:</w:t>
      </w:r>
      <w:r w:rsidR="008E7DA8" w:rsidRPr="008E7DA8">
        <w:rPr>
          <w:rFonts w:ascii="Times New Roman" w:hAnsi="Times New Roman" w:cs="Times New Roman"/>
          <w:szCs w:val="24"/>
        </w:rPr>
        <w:t xml:space="preserve"> Uganda A00195974 </w:t>
      </w:r>
      <w:r w:rsidR="008E7DA8" w:rsidRPr="008E7DA8">
        <w:rPr>
          <w:rFonts w:ascii="Times New Roman" w:hAnsi="Times New Roman" w:cs="Times New Roman"/>
          <w:b/>
          <w:bCs/>
          <w:szCs w:val="24"/>
        </w:rPr>
        <w:t>National identification no</w:t>
      </w:r>
      <w:r w:rsidR="008E7DA8" w:rsidRPr="008E7DA8">
        <w:rPr>
          <w:rFonts w:ascii="Times New Roman" w:hAnsi="Times New Roman" w:cs="Times New Roman"/>
          <w:szCs w:val="24"/>
        </w:rPr>
        <w:t xml:space="preserve">: Uganda CM920231090NZA </w:t>
      </w:r>
      <w:r w:rsidR="008E7DA8" w:rsidRPr="008E7DA8">
        <w:rPr>
          <w:rFonts w:ascii="Times New Roman" w:hAnsi="Times New Roman" w:cs="Times New Roman"/>
          <w:b/>
          <w:bCs/>
          <w:szCs w:val="24"/>
        </w:rPr>
        <w:t>Address:</w:t>
      </w:r>
      <w:r w:rsidR="008E7DA8" w:rsidRPr="008E7DA8">
        <w:rPr>
          <w:rFonts w:ascii="Times New Roman" w:hAnsi="Times New Roman" w:cs="Times New Roman"/>
          <w:szCs w:val="24"/>
        </w:rPr>
        <w:t xml:space="preserve"> Luzira Prison, Luzira, Kampala, Uganda </w:t>
      </w:r>
      <w:r w:rsidR="008E7DA8" w:rsidRPr="008E7DA8">
        <w:rPr>
          <w:rFonts w:ascii="Times New Roman" w:hAnsi="Times New Roman" w:cs="Times New Roman"/>
          <w:b/>
          <w:bCs/>
          <w:szCs w:val="24"/>
        </w:rPr>
        <w:t>Listed on:</w:t>
      </w:r>
      <w:r w:rsidR="008E7DA8" w:rsidRPr="008E7DA8">
        <w:rPr>
          <w:rFonts w:ascii="Times New Roman" w:hAnsi="Times New Roman" w:cs="Times New Roman"/>
          <w:szCs w:val="24"/>
        </w:rPr>
        <w:t xml:space="preserve"> 16 Jun. 2025 </w:t>
      </w:r>
      <w:r w:rsidR="008E7DA8" w:rsidRPr="008E7DA8">
        <w:rPr>
          <w:rFonts w:ascii="Times New Roman" w:hAnsi="Times New Roman" w:cs="Times New Roman"/>
          <w:b/>
          <w:bCs/>
          <w:szCs w:val="24"/>
        </w:rPr>
        <w:t>Other information: </w:t>
      </w:r>
      <w:r w:rsidR="008E7DA8" w:rsidRPr="008E7DA8">
        <w:rPr>
          <w:rFonts w:ascii="Times New Roman" w:hAnsi="Times New Roman" w:cs="Times New Roman"/>
          <w:szCs w:val="24"/>
        </w:rPr>
        <w:t xml:space="preserve">Abubakar </w:t>
      </w:r>
      <w:proofErr w:type="spellStart"/>
      <w:r w:rsidR="008E7DA8" w:rsidRPr="008E7DA8">
        <w:rPr>
          <w:rFonts w:ascii="Times New Roman" w:hAnsi="Times New Roman" w:cs="Times New Roman"/>
          <w:szCs w:val="24"/>
        </w:rPr>
        <w:t>Swalleh</w:t>
      </w:r>
      <w:proofErr w:type="spellEnd"/>
      <w:r w:rsidR="008E7DA8" w:rsidRPr="008E7DA8">
        <w:rPr>
          <w:rFonts w:ascii="Times New Roman" w:hAnsi="Times New Roman" w:cs="Times New Roman"/>
          <w:szCs w:val="24"/>
        </w:rPr>
        <w:t xml:space="preserve"> provides financial, material, or technological support for, or financial or other services to, or in support of, ISIL (listed as Al-Qaida in Iraq (QDe.115). He acted, since 2018, as an ISIL facilitator who provides financial and logistic support including recruitment for ISIL in East and Southern Africa. Phone number: +963936016952. </w:t>
      </w:r>
      <w:r w:rsidR="008E7DA8" w:rsidRPr="008E7DA8">
        <w:rPr>
          <w:rFonts w:ascii="Times New Roman" w:hAnsi="Times New Roman" w:cs="Times New Roman"/>
          <w:b/>
          <w:bCs/>
          <w:szCs w:val="24"/>
        </w:rPr>
        <w:t>Gender:</w:t>
      </w:r>
      <w:r w:rsidR="008E7DA8" w:rsidRPr="008E7DA8">
        <w:rPr>
          <w:rFonts w:ascii="Times New Roman" w:hAnsi="Times New Roman" w:cs="Times New Roman"/>
          <w:szCs w:val="24"/>
        </w:rPr>
        <w:t xml:space="preserve"> Male INTERPOL-UN Security Council Special Notice web link: </w:t>
      </w:r>
      <w:hyperlink r:id="rId8" w:history="1">
        <w:r w:rsidR="008E7DA8" w:rsidRPr="008E7DA8">
          <w:rPr>
            <w:rFonts w:ascii="Times New Roman" w:hAnsi="Times New Roman" w:cs="Times New Roman"/>
            <w:color w:val="0000FF"/>
            <w:szCs w:val="24"/>
            <w:u w:val="single"/>
          </w:rPr>
          <w:t>www.interpol.int/en/How-we-work/Notices/View-UN-Notices-Individuals</w:t>
        </w:r>
      </w:hyperlink>
      <w:r w:rsidR="008E7DA8" w:rsidRPr="008E7DA8">
        <w:rPr>
          <w:rFonts w:ascii="Times New Roman" w:hAnsi="Times New Roman" w:cs="Times New Roman"/>
          <w:szCs w:val="24"/>
        </w:rPr>
        <w:t>.</w:t>
      </w:r>
    </w:p>
    <w:p w14:paraId="25143362" w14:textId="77777777" w:rsidR="00727A9C" w:rsidRPr="008E7DA8" w:rsidRDefault="00727A9C" w:rsidP="00F630A2">
      <w:pPr>
        <w:shd w:val="clear" w:color="auto" w:fill="FFFFFF"/>
        <w:spacing w:after="0" w:line="276" w:lineRule="auto"/>
        <w:jc w:val="both"/>
        <w:rPr>
          <w:rFonts w:ascii="Times New Roman" w:eastAsia="Times New Roman" w:hAnsi="Times New Roman" w:cs="Times New Roman"/>
          <w:b/>
          <w:bCs/>
          <w:szCs w:val="24"/>
        </w:rPr>
      </w:pPr>
    </w:p>
    <w:p w14:paraId="4F4E5929" w14:textId="4C4DBCA4" w:rsidR="00F27AA1" w:rsidRPr="008E7DA8" w:rsidRDefault="00920544" w:rsidP="00F630A2">
      <w:pPr>
        <w:spacing w:after="0" w:line="276" w:lineRule="auto"/>
        <w:jc w:val="both"/>
        <w:rPr>
          <w:rFonts w:ascii="Times New Roman" w:hAnsi="Times New Roman" w:cs="Times New Roman"/>
          <w:szCs w:val="24"/>
        </w:rPr>
      </w:pPr>
      <w:r w:rsidRPr="00920544">
        <w:rPr>
          <w:rFonts w:ascii="Times New Roman" w:hAnsi="Times New Roman" w:cs="Times New Roman"/>
          <w:szCs w:val="24"/>
        </w:rPr>
        <w:t>In accordance with paragraph 61 of resolution 2734 (2024), the Committee has made accessible on its website the narrative summaries of reasons for listing of the above entries at the following URL:  </w:t>
      </w:r>
      <w:hyperlink r:id="rId9" w:history="1">
        <w:r w:rsidRPr="00920544">
          <w:rPr>
            <w:rStyle w:val="Hyperlink"/>
            <w:rFonts w:ascii="Times New Roman" w:hAnsi="Times New Roman" w:cs="Times New Roman"/>
            <w:szCs w:val="24"/>
          </w:rPr>
          <w:t>www.un.org/securitycouncil/sanctions/1267/aq_sanctions_list/summaries</w:t>
        </w:r>
      </w:hyperlink>
      <w:r w:rsidRPr="00920544">
        <w:rPr>
          <w:rFonts w:ascii="Times New Roman" w:hAnsi="Times New Roman" w:cs="Times New Roman"/>
          <w:szCs w:val="24"/>
        </w:rPr>
        <w:t>.</w:t>
      </w:r>
      <w:r w:rsidR="00F27AA1" w:rsidRPr="008E7DA8">
        <w:rPr>
          <w:rFonts w:ascii="Times New Roman" w:hAnsi="Times New Roman" w:cs="Times New Roman"/>
          <w:szCs w:val="24"/>
        </w:rPr>
        <w:t>.</w:t>
      </w:r>
    </w:p>
    <w:p w14:paraId="0BBF6C50" w14:textId="77777777" w:rsidR="008F30A3" w:rsidRPr="008E7DA8" w:rsidRDefault="008F30A3" w:rsidP="00F630A2">
      <w:pPr>
        <w:spacing w:after="0" w:line="276" w:lineRule="auto"/>
        <w:jc w:val="both"/>
        <w:rPr>
          <w:rFonts w:ascii="Times New Roman" w:hAnsi="Times New Roman" w:cs="Times New Roman"/>
          <w:szCs w:val="24"/>
        </w:rPr>
      </w:pPr>
    </w:p>
    <w:p w14:paraId="3F5AC39F" w14:textId="22D98F23" w:rsidR="0063455F" w:rsidRDefault="00920544" w:rsidP="00F630A2">
      <w:pPr>
        <w:spacing w:after="0" w:line="276" w:lineRule="auto"/>
        <w:jc w:val="both"/>
        <w:rPr>
          <w:rFonts w:ascii="Times New Roman" w:hAnsi="Times New Roman" w:cs="Times New Roman"/>
          <w:szCs w:val="24"/>
        </w:rPr>
      </w:pPr>
      <w:r w:rsidRPr="00920544">
        <w:rPr>
          <w:rFonts w:ascii="Times New Roman" w:hAnsi="Times New Roman" w:cs="Times New Roman"/>
          <w:szCs w:val="24"/>
        </w:rPr>
        <w:t xml:space="preserve">The ISIL (Da’esh) and Al-Qaida Sanctions List is updated regularly on the basis of relevant information provided by Member States and international and regional organizations.  An updated List is accessible on the ISIL (Da’esh) and Al-Qaida Sanctions Committee’s website at the following URL:  </w:t>
      </w:r>
      <w:hyperlink r:id="rId10" w:history="1">
        <w:r w:rsidRPr="00920544">
          <w:rPr>
            <w:rStyle w:val="Hyperlink"/>
            <w:rFonts w:ascii="Times New Roman" w:hAnsi="Times New Roman" w:cs="Times New Roman"/>
            <w:szCs w:val="24"/>
          </w:rPr>
          <w:t>www.un.org/securitycouncil/sanctions/1267/aq_sanctions_list</w:t>
        </w:r>
      </w:hyperlink>
      <w:r w:rsidRPr="00920544">
        <w:rPr>
          <w:rFonts w:ascii="Times New Roman" w:hAnsi="Times New Roman" w:cs="Times New Roman"/>
          <w:szCs w:val="24"/>
        </w:rPr>
        <w:t>.</w:t>
      </w:r>
    </w:p>
    <w:p w14:paraId="62AF82AA" w14:textId="77777777" w:rsidR="0061118F" w:rsidRDefault="0061118F" w:rsidP="00F630A2">
      <w:pPr>
        <w:spacing w:after="0" w:line="276" w:lineRule="auto"/>
        <w:jc w:val="both"/>
        <w:rPr>
          <w:rFonts w:ascii="Times New Roman" w:hAnsi="Times New Roman" w:cs="Times New Roman"/>
          <w:szCs w:val="24"/>
        </w:rPr>
      </w:pPr>
    </w:p>
    <w:p w14:paraId="757A228A" w14:textId="0FB994BD" w:rsidR="0061118F" w:rsidRPr="0061118F" w:rsidRDefault="0061118F" w:rsidP="0061118F">
      <w:pPr>
        <w:spacing w:after="0" w:line="276" w:lineRule="auto"/>
        <w:jc w:val="both"/>
        <w:rPr>
          <w:rFonts w:ascii="Times New Roman" w:hAnsi="Times New Roman" w:cs="Times New Roman"/>
          <w:szCs w:val="24"/>
        </w:rPr>
      </w:pPr>
      <w:r w:rsidRPr="0061118F">
        <w:rPr>
          <w:rFonts w:ascii="Times New Roman" w:hAnsi="Times New Roman" w:cs="Times New Roman"/>
          <w:szCs w:val="24"/>
        </w:rPr>
        <w:t>Accordingly, the prohibitions, travel ban, and arms embargo under sections 23, 24, 35 and 36 of the United Nations (Financial Prohibitions, Arms Embargo and Travel Ban) Sanctions Act 2019 apply with immediate effect to the above entr</w:t>
      </w:r>
      <w:r w:rsidR="00192A2A">
        <w:rPr>
          <w:rFonts w:ascii="Times New Roman" w:hAnsi="Times New Roman" w:cs="Times New Roman"/>
          <w:szCs w:val="24"/>
        </w:rPr>
        <w:t>y</w:t>
      </w:r>
      <w:r w:rsidRPr="0061118F">
        <w:rPr>
          <w:rFonts w:ascii="Times New Roman" w:hAnsi="Times New Roman" w:cs="Times New Roman"/>
          <w:szCs w:val="24"/>
        </w:rPr>
        <w:t>.</w:t>
      </w:r>
    </w:p>
    <w:p w14:paraId="4400A444" w14:textId="77777777" w:rsidR="00920544" w:rsidRDefault="00920544" w:rsidP="00F630A2">
      <w:pPr>
        <w:spacing w:after="0" w:line="276" w:lineRule="auto"/>
        <w:jc w:val="both"/>
        <w:rPr>
          <w:rFonts w:ascii="Times New Roman" w:hAnsi="Times New Roman" w:cs="Times New Roman"/>
          <w:szCs w:val="24"/>
        </w:rPr>
      </w:pPr>
    </w:p>
    <w:p w14:paraId="19379929" w14:textId="63195347" w:rsidR="00920544" w:rsidRDefault="00920544" w:rsidP="00F630A2">
      <w:pPr>
        <w:spacing w:after="0" w:line="276" w:lineRule="auto"/>
        <w:jc w:val="both"/>
        <w:rPr>
          <w:rFonts w:ascii="Times New Roman" w:hAnsi="Times New Roman" w:cs="Times New Roman"/>
          <w:szCs w:val="24"/>
        </w:rPr>
      </w:pPr>
      <w:r w:rsidRPr="00920544">
        <w:rPr>
          <w:rFonts w:ascii="Times New Roman" w:hAnsi="Times New Roman" w:cs="Times New Roman"/>
          <w:szCs w:val="24"/>
        </w:rPr>
        <w:t>The United Nations Security Council Consolidated List is also updated following all changes made to the ISIL (Da’esh) and Al-Qaida Sanctions List.  An updated version of the Consolidated List is accessible via the following URL: </w:t>
      </w:r>
      <w:hyperlink r:id="rId11" w:history="1">
        <w:r w:rsidRPr="00920544">
          <w:rPr>
            <w:rStyle w:val="Hyperlink"/>
            <w:rFonts w:ascii="Times New Roman" w:hAnsi="Times New Roman" w:cs="Times New Roman"/>
            <w:szCs w:val="24"/>
          </w:rPr>
          <w:t>www.un.org/securitycouncil/content/un-sc-consolidated-list</w:t>
        </w:r>
      </w:hyperlink>
      <w:r w:rsidRPr="00920544">
        <w:rPr>
          <w:rFonts w:ascii="Times New Roman" w:hAnsi="Times New Roman" w:cs="Times New Roman"/>
          <w:szCs w:val="24"/>
        </w:rPr>
        <w:t>.</w:t>
      </w:r>
    </w:p>
    <w:p w14:paraId="5DF9E1D9" w14:textId="77777777" w:rsidR="0061118F" w:rsidRDefault="0061118F" w:rsidP="00F630A2">
      <w:pPr>
        <w:spacing w:after="0" w:line="276" w:lineRule="auto"/>
        <w:jc w:val="both"/>
        <w:rPr>
          <w:rFonts w:ascii="Times New Roman" w:hAnsi="Times New Roman" w:cs="Times New Roman"/>
          <w:szCs w:val="24"/>
        </w:rPr>
      </w:pPr>
    </w:p>
    <w:p w14:paraId="651A1782" w14:textId="77777777" w:rsidR="0061118F" w:rsidRPr="008E7DA8" w:rsidRDefault="0061118F" w:rsidP="00F630A2">
      <w:pPr>
        <w:spacing w:after="0" w:line="276" w:lineRule="auto"/>
        <w:jc w:val="both"/>
        <w:rPr>
          <w:rFonts w:ascii="Times New Roman" w:hAnsi="Times New Roman" w:cs="Times New Roman"/>
          <w:szCs w:val="24"/>
        </w:rPr>
      </w:pPr>
    </w:p>
    <w:p w14:paraId="180F80C8" w14:textId="77777777" w:rsidR="00F27AA1" w:rsidRPr="008E7DA8" w:rsidRDefault="00F27AA1" w:rsidP="00F630A2">
      <w:pPr>
        <w:spacing w:after="0" w:line="276" w:lineRule="auto"/>
        <w:jc w:val="both"/>
        <w:rPr>
          <w:rFonts w:ascii="Times New Roman" w:hAnsi="Times New Roman" w:cs="Times New Roman"/>
          <w:color w:val="2E74B5" w:themeColor="accent1" w:themeShade="BF"/>
          <w:szCs w:val="24"/>
          <w:u w:val="single"/>
        </w:rPr>
      </w:pPr>
      <w:r w:rsidRPr="008E7DA8">
        <w:rPr>
          <w:rFonts w:ascii="Times New Roman" w:hAnsi="Times New Roman" w:cs="Times New Roman"/>
          <w:szCs w:val="24"/>
        </w:rPr>
        <w:t xml:space="preserve">The public and other stakeholders are urged to regularly check for any updates to the United Nations </w:t>
      </w:r>
      <w:r w:rsidR="00451D24" w:rsidRPr="008E7DA8">
        <w:rPr>
          <w:rFonts w:ascii="Times New Roman" w:hAnsi="Times New Roman" w:cs="Times New Roman"/>
          <w:szCs w:val="24"/>
        </w:rPr>
        <w:t xml:space="preserve">Sanctions </w:t>
      </w:r>
      <w:r w:rsidRPr="008E7DA8">
        <w:rPr>
          <w:rFonts w:ascii="Times New Roman" w:hAnsi="Times New Roman" w:cs="Times New Roman"/>
          <w:szCs w:val="24"/>
        </w:rPr>
        <w:t>Lists by accessing the above URL and comply with the relevant requirements under the Act.</w:t>
      </w:r>
    </w:p>
    <w:p w14:paraId="25CC4037" w14:textId="77777777" w:rsidR="00006665" w:rsidRPr="008E7DA8" w:rsidRDefault="00006665" w:rsidP="00F630A2">
      <w:pPr>
        <w:spacing w:after="0" w:line="276" w:lineRule="auto"/>
        <w:jc w:val="both"/>
        <w:rPr>
          <w:rFonts w:ascii="Times New Roman" w:hAnsi="Times New Roman" w:cs="Times New Roman"/>
          <w:szCs w:val="24"/>
        </w:rPr>
      </w:pPr>
    </w:p>
    <w:p w14:paraId="27C8435E" w14:textId="77777777" w:rsidR="00F27AA1" w:rsidRPr="008E7DA8" w:rsidRDefault="00F27AA1" w:rsidP="00F630A2">
      <w:pPr>
        <w:spacing w:after="0" w:line="276" w:lineRule="auto"/>
        <w:jc w:val="both"/>
        <w:rPr>
          <w:rFonts w:ascii="Times New Roman" w:hAnsi="Times New Roman" w:cs="Times New Roman"/>
          <w:szCs w:val="24"/>
        </w:rPr>
      </w:pPr>
      <w:r w:rsidRPr="008E7DA8">
        <w:rPr>
          <w:rFonts w:ascii="Times New Roman" w:hAnsi="Times New Roman" w:cs="Times New Roman"/>
          <w:szCs w:val="24"/>
        </w:rPr>
        <w:t>For any query</w:t>
      </w:r>
      <w:r w:rsidR="00D104FC" w:rsidRPr="008E7DA8">
        <w:rPr>
          <w:rFonts w:ascii="Times New Roman" w:hAnsi="Times New Roman" w:cs="Times New Roman"/>
          <w:szCs w:val="24"/>
        </w:rPr>
        <w:t>,</w:t>
      </w:r>
      <w:r w:rsidRPr="008E7DA8">
        <w:rPr>
          <w:rFonts w:ascii="Times New Roman" w:hAnsi="Times New Roman" w:cs="Times New Roman"/>
          <w:szCs w:val="24"/>
        </w:rPr>
        <w:t xml:space="preserve"> please contact the National Sanctions Secretariat as follows:</w:t>
      </w:r>
    </w:p>
    <w:p w14:paraId="20022C6D" w14:textId="77777777" w:rsidR="00F27AA1" w:rsidRPr="008E7DA8" w:rsidRDefault="00F27AA1" w:rsidP="00F630A2">
      <w:pPr>
        <w:spacing w:after="0" w:line="276" w:lineRule="auto"/>
        <w:ind w:left="720" w:hanging="720"/>
        <w:jc w:val="both"/>
        <w:rPr>
          <w:rFonts w:ascii="Times New Roman" w:hAnsi="Times New Roman" w:cs="Times New Roman"/>
          <w:b/>
          <w:szCs w:val="24"/>
        </w:rPr>
      </w:pPr>
      <w:r w:rsidRPr="008E7DA8">
        <w:rPr>
          <w:rFonts w:ascii="Times New Roman" w:hAnsi="Times New Roman" w:cs="Times New Roman"/>
          <w:b/>
          <w:szCs w:val="24"/>
        </w:rPr>
        <w:t>National Sanctions Secretariat</w:t>
      </w:r>
    </w:p>
    <w:p w14:paraId="0E6F1DCE" w14:textId="77777777" w:rsidR="00F27AA1" w:rsidRPr="008E7DA8" w:rsidRDefault="00EC68C7" w:rsidP="00F630A2">
      <w:pPr>
        <w:tabs>
          <w:tab w:val="left" w:pos="2160"/>
          <w:tab w:val="left" w:pos="3600"/>
          <w:tab w:val="left" w:pos="3870"/>
          <w:tab w:val="left" w:pos="3960"/>
        </w:tabs>
        <w:spacing w:after="0" w:line="276" w:lineRule="auto"/>
        <w:ind w:hanging="720"/>
        <w:jc w:val="both"/>
        <w:rPr>
          <w:rFonts w:ascii="Times New Roman" w:hAnsi="Times New Roman" w:cs="Times New Roman"/>
          <w:b/>
          <w:szCs w:val="24"/>
        </w:rPr>
      </w:pPr>
      <w:r w:rsidRPr="008E7DA8">
        <w:rPr>
          <w:rFonts w:ascii="Times New Roman" w:hAnsi="Times New Roman" w:cs="Times New Roman"/>
          <w:b/>
          <w:szCs w:val="24"/>
        </w:rPr>
        <w:tab/>
        <w:t>Level 4</w:t>
      </w:r>
      <w:r w:rsidR="00F27AA1" w:rsidRPr="008E7DA8">
        <w:rPr>
          <w:rFonts w:ascii="Times New Roman" w:hAnsi="Times New Roman" w:cs="Times New Roman"/>
          <w:b/>
          <w:szCs w:val="24"/>
        </w:rPr>
        <w:t>, New Government Centre</w:t>
      </w:r>
    </w:p>
    <w:p w14:paraId="57D710E5" w14:textId="77777777" w:rsidR="007E3913" w:rsidRPr="008E7DA8" w:rsidRDefault="00F27AA1" w:rsidP="00F630A2">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Cs w:val="24"/>
          <w:lang w:val="fr-FR"/>
        </w:rPr>
      </w:pPr>
      <w:r w:rsidRPr="008E7DA8">
        <w:rPr>
          <w:rFonts w:ascii="Times New Roman" w:hAnsi="Times New Roman" w:cs="Times New Roman"/>
          <w:b/>
          <w:szCs w:val="24"/>
        </w:rPr>
        <w:tab/>
      </w:r>
      <w:r w:rsidRPr="008E7DA8">
        <w:rPr>
          <w:rFonts w:ascii="Times New Roman" w:hAnsi="Times New Roman" w:cs="Times New Roman"/>
          <w:b/>
          <w:szCs w:val="24"/>
          <w:lang w:val="fr-FR"/>
        </w:rPr>
        <w:t>Port- Louis</w:t>
      </w:r>
    </w:p>
    <w:p w14:paraId="70B00FB5" w14:textId="77777777" w:rsidR="00F27AA1" w:rsidRPr="008E7DA8" w:rsidRDefault="00F27AA1" w:rsidP="00F630A2">
      <w:pPr>
        <w:tabs>
          <w:tab w:val="left" w:pos="6030"/>
          <w:tab w:val="left" w:pos="6120"/>
        </w:tabs>
        <w:spacing w:after="0" w:line="276" w:lineRule="auto"/>
        <w:jc w:val="both"/>
        <w:rPr>
          <w:rFonts w:ascii="Times New Roman" w:hAnsi="Times New Roman" w:cs="Times New Roman"/>
          <w:b/>
          <w:szCs w:val="24"/>
          <w:lang w:val="fr-FR"/>
        </w:rPr>
      </w:pPr>
      <w:r w:rsidRPr="008E7DA8">
        <w:rPr>
          <w:rFonts w:ascii="Times New Roman" w:hAnsi="Times New Roman" w:cs="Times New Roman"/>
          <w:b/>
          <w:szCs w:val="24"/>
          <w:lang w:val="fr-FR"/>
        </w:rPr>
        <w:t>Telephone: 201 1366/201 1264</w:t>
      </w:r>
    </w:p>
    <w:p w14:paraId="1337B822" w14:textId="2AF352DE" w:rsidR="00D53225" w:rsidRDefault="00F27AA1" w:rsidP="00F630A2">
      <w:pPr>
        <w:tabs>
          <w:tab w:val="left" w:pos="6120"/>
          <w:tab w:val="left" w:pos="7290"/>
        </w:tabs>
        <w:spacing w:after="0" w:line="276" w:lineRule="auto"/>
        <w:jc w:val="both"/>
        <w:rPr>
          <w:rStyle w:val="Hyperlink"/>
          <w:rFonts w:ascii="Times New Roman" w:hAnsi="Times New Roman" w:cs="Times New Roman"/>
          <w:b/>
          <w:szCs w:val="24"/>
          <w:u w:val="none"/>
        </w:rPr>
      </w:pPr>
      <w:r w:rsidRPr="008E7DA8">
        <w:rPr>
          <w:rFonts w:ascii="Times New Roman" w:hAnsi="Times New Roman" w:cs="Times New Roman"/>
          <w:b/>
          <w:szCs w:val="24"/>
        </w:rPr>
        <w:t xml:space="preserve">Email: </w:t>
      </w:r>
      <w:hyperlink r:id="rId12" w:history="1">
        <w:r w:rsidRPr="008E7DA8">
          <w:rPr>
            <w:rStyle w:val="Hyperlink"/>
            <w:rFonts w:ascii="Times New Roman" w:hAnsi="Times New Roman" w:cs="Times New Roman"/>
            <w:b/>
            <w:szCs w:val="24"/>
          </w:rPr>
          <w:t>nssec@govmu.org</w:t>
        </w:r>
      </w:hyperlink>
      <w:r w:rsidR="009E377E" w:rsidRPr="008E7DA8">
        <w:rPr>
          <w:rStyle w:val="Hyperlink"/>
          <w:rFonts w:ascii="Times New Roman" w:hAnsi="Times New Roman" w:cs="Times New Roman"/>
          <w:b/>
          <w:szCs w:val="24"/>
          <w:u w:val="none"/>
        </w:rPr>
        <w:t xml:space="preserve"> </w:t>
      </w:r>
      <w:r w:rsidR="00EC68C7" w:rsidRPr="008E7DA8">
        <w:rPr>
          <w:rStyle w:val="Hyperlink"/>
          <w:rFonts w:ascii="Times New Roman" w:hAnsi="Times New Roman" w:cs="Times New Roman"/>
          <w:b/>
          <w:szCs w:val="24"/>
          <w:u w:val="none"/>
        </w:rPr>
        <w:t xml:space="preserve">                                                            </w:t>
      </w:r>
      <w:r w:rsidR="008F51CC" w:rsidRPr="008E7DA8">
        <w:rPr>
          <w:rStyle w:val="Hyperlink"/>
          <w:rFonts w:ascii="Times New Roman" w:hAnsi="Times New Roman" w:cs="Times New Roman"/>
          <w:b/>
          <w:szCs w:val="24"/>
          <w:u w:val="none"/>
        </w:rPr>
        <w:t xml:space="preserve">                         </w:t>
      </w:r>
      <w:r w:rsidR="00F630A2">
        <w:rPr>
          <w:rFonts w:ascii="Times New Roman" w:hAnsi="Times New Roman" w:cs="Times New Roman"/>
          <w:b/>
          <w:szCs w:val="24"/>
        </w:rPr>
        <w:t>17 June 2025</w:t>
      </w:r>
    </w:p>
    <w:p w14:paraId="1DCD4225" w14:textId="666F4E1F" w:rsidR="00F630A2" w:rsidRPr="00F630A2" w:rsidRDefault="00F630A2" w:rsidP="00F630A2">
      <w:pPr>
        <w:tabs>
          <w:tab w:val="left" w:pos="2820"/>
        </w:tabs>
        <w:rPr>
          <w:rFonts w:ascii="Times New Roman" w:hAnsi="Times New Roman" w:cs="Times New Roman"/>
          <w:szCs w:val="24"/>
        </w:rPr>
      </w:pPr>
      <w:r>
        <w:rPr>
          <w:rFonts w:ascii="Times New Roman" w:hAnsi="Times New Roman" w:cs="Times New Roman"/>
          <w:szCs w:val="24"/>
        </w:rPr>
        <w:tab/>
      </w:r>
    </w:p>
    <w:sectPr w:rsidR="00F630A2" w:rsidRPr="00F630A2" w:rsidSect="00691F1F">
      <w:headerReference w:type="default" r:id="rId13"/>
      <w:footerReference w:type="default" r:id="rId14"/>
      <w:pgSz w:w="12240" w:h="15840"/>
      <w:pgMar w:top="851" w:right="1041" w:bottom="426" w:left="1080"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0008" w14:textId="77777777" w:rsidR="00775CAB" w:rsidRDefault="00775CAB" w:rsidP="00D13383">
      <w:pPr>
        <w:spacing w:after="0" w:line="240" w:lineRule="auto"/>
      </w:pPr>
      <w:r>
        <w:separator/>
      </w:r>
    </w:p>
  </w:endnote>
  <w:endnote w:type="continuationSeparator" w:id="0">
    <w:p w14:paraId="7E73FAB1" w14:textId="77777777" w:rsidR="00775CAB" w:rsidRDefault="00775CAB"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119051"/>
      <w:docPartObj>
        <w:docPartGallery w:val="Page Numbers (Bottom of Page)"/>
        <w:docPartUnique/>
      </w:docPartObj>
    </w:sdtPr>
    <w:sdtEndPr/>
    <w:sdtContent>
      <w:sdt>
        <w:sdtPr>
          <w:id w:val="-1792283900"/>
          <w:docPartObj>
            <w:docPartGallery w:val="Page Numbers (Top of Page)"/>
            <w:docPartUnique/>
          </w:docPartObj>
        </w:sdtPr>
        <w:sdtEndPr/>
        <w:sdtContent>
          <w:p w14:paraId="25B3E835" w14:textId="21652C3E" w:rsidR="00D13383" w:rsidRDefault="00E107CF">
            <w:pPr>
              <w:pStyle w:val="Footer"/>
              <w:jc w:val="center"/>
            </w:pPr>
          </w:p>
        </w:sdtContent>
      </w:sdt>
    </w:sdtContent>
  </w:sdt>
  <w:p w14:paraId="01DFEFBB"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59B3" w14:textId="77777777" w:rsidR="00775CAB" w:rsidRDefault="00775CAB" w:rsidP="00D13383">
      <w:pPr>
        <w:spacing w:after="0" w:line="240" w:lineRule="auto"/>
      </w:pPr>
      <w:r>
        <w:separator/>
      </w:r>
    </w:p>
  </w:footnote>
  <w:footnote w:type="continuationSeparator" w:id="0">
    <w:p w14:paraId="51116C14" w14:textId="77777777" w:rsidR="00775CAB" w:rsidRDefault="00775CAB"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5BC4" w14:textId="77777777"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76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91"/>
    <w:rsid w:val="00006665"/>
    <w:rsid w:val="000248D5"/>
    <w:rsid w:val="00036891"/>
    <w:rsid w:val="000C5842"/>
    <w:rsid w:val="00114F73"/>
    <w:rsid w:val="0017133E"/>
    <w:rsid w:val="00192A2A"/>
    <w:rsid w:val="001970E6"/>
    <w:rsid w:val="001A666B"/>
    <w:rsid w:val="001B28A7"/>
    <w:rsid w:val="001B7B1A"/>
    <w:rsid w:val="001D04B7"/>
    <w:rsid w:val="001D4583"/>
    <w:rsid w:val="001E79E3"/>
    <w:rsid w:val="00202530"/>
    <w:rsid w:val="00224C80"/>
    <w:rsid w:val="00250627"/>
    <w:rsid w:val="002660C6"/>
    <w:rsid w:val="002A3D1B"/>
    <w:rsid w:val="002B1DFB"/>
    <w:rsid w:val="002B5D36"/>
    <w:rsid w:val="002E7756"/>
    <w:rsid w:val="002F16CC"/>
    <w:rsid w:val="00326C0A"/>
    <w:rsid w:val="003273F2"/>
    <w:rsid w:val="0037116E"/>
    <w:rsid w:val="003E0AEC"/>
    <w:rsid w:val="003E7839"/>
    <w:rsid w:val="00421339"/>
    <w:rsid w:val="00435E7C"/>
    <w:rsid w:val="00451D24"/>
    <w:rsid w:val="00462A57"/>
    <w:rsid w:val="00464AAB"/>
    <w:rsid w:val="0047330F"/>
    <w:rsid w:val="00490356"/>
    <w:rsid w:val="004C406B"/>
    <w:rsid w:val="005525A2"/>
    <w:rsid w:val="0058243B"/>
    <w:rsid w:val="005962D3"/>
    <w:rsid w:val="005B0FE9"/>
    <w:rsid w:val="0061118F"/>
    <w:rsid w:val="0063455F"/>
    <w:rsid w:val="00675557"/>
    <w:rsid w:val="00691F1F"/>
    <w:rsid w:val="006A41C3"/>
    <w:rsid w:val="006C0461"/>
    <w:rsid w:val="006C322C"/>
    <w:rsid w:val="006D3EE0"/>
    <w:rsid w:val="006F3FD5"/>
    <w:rsid w:val="00727A9C"/>
    <w:rsid w:val="00775CAB"/>
    <w:rsid w:val="007C220B"/>
    <w:rsid w:val="007C4092"/>
    <w:rsid w:val="007D30FD"/>
    <w:rsid w:val="007E3913"/>
    <w:rsid w:val="007F167D"/>
    <w:rsid w:val="007F5F15"/>
    <w:rsid w:val="00814845"/>
    <w:rsid w:val="008157CA"/>
    <w:rsid w:val="00873FDA"/>
    <w:rsid w:val="00874995"/>
    <w:rsid w:val="00883020"/>
    <w:rsid w:val="008D5B31"/>
    <w:rsid w:val="008E7DA8"/>
    <w:rsid w:val="008F30A3"/>
    <w:rsid w:val="008F35C4"/>
    <w:rsid w:val="008F51CC"/>
    <w:rsid w:val="00920544"/>
    <w:rsid w:val="009220C8"/>
    <w:rsid w:val="00932C29"/>
    <w:rsid w:val="009B066B"/>
    <w:rsid w:val="009D3D4F"/>
    <w:rsid w:val="009D57FE"/>
    <w:rsid w:val="009E377E"/>
    <w:rsid w:val="009E5584"/>
    <w:rsid w:val="00A05842"/>
    <w:rsid w:val="00A128E2"/>
    <w:rsid w:val="00A72958"/>
    <w:rsid w:val="00A7778C"/>
    <w:rsid w:val="00A902CE"/>
    <w:rsid w:val="00B11C31"/>
    <w:rsid w:val="00B92088"/>
    <w:rsid w:val="00BB5215"/>
    <w:rsid w:val="00C17BCB"/>
    <w:rsid w:val="00C724E1"/>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107CF"/>
    <w:rsid w:val="00E34208"/>
    <w:rsid w:val="00E42687"/>
    <w:rsid w:val="00E4268A"/>
    <w:rsid w:val="00E83F9A"/>
    <w:rsid w:val="00EA48C7"/>
    <w:rsid w:val="00EC68C7"/>
    <w:rsid w:val="00ED6DD9"/>
    <w:rsid w:val="00EE1312"/>
    <w:rsid w:val="00F153AC"/>
    <w:rsid w:val="00F168EE"/>
    <w:rsid w:val="00F17615"/>
    <w:rsid w:val="00F27AA1"/>
    <w:rsid w:val="00F630A2"/>
    <w:rsid w:val="00FB686D"/>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9373"/>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9220C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006665"/>
    <w:rPr>
      <w:color w:val="605E5C"/>
      <w:shd w:val="clear" w:color="auto" w:fill="E1DFDD"/>
    </w:rPr>
  </w:style>
  <w:style w:type="character" w:customStyle="1" w:styleId="Heading3Char">
    <w:name w:val="Heading 3 Char"/>
    <w:basedOn w:val="DefaultParagraphFont"/>
    <w:link w:val="Heading3"/>
    <w:uiPriority w:val="9"/>
    <w:semiHidden/>
    <w:rsid w:val="009220C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7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27722895">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722561677">
      <w:bodyDiv w:val="1"/>
      <w:marLeft w:val="0"/>
      <w:marRight w:val="0"/>
      <w:marTop w:val="0"/>
      <w:marBottom w:val="0"/>
      <w:divBdr>
        <w:top w:val="none" w:sz="0" w:space="0" w:color="auto"/>
        <w:left w:val="none" w:sz="0" w:space="0" w:color="auto"/>
        <w:bottom w:val="none" w:sz="0" w:space="0" w:color="auto"/>
        <w:right w:val="none" w:sz="0" w:space="0" w:color="auto"/>
      </w:divBdr>
    </w:div>
    <w:div w:id="1741098124">
      <w:bodyDiv w:val="1"/>
      <w:marLeft w:val="0"/>
      <w:marRight w:val="0"/>
      <w:marTop w:val="0"/>
      <w:marBottom w:val="0"/>
      <w:divBdr>
        <w:top w:val="none" w:sz="0" w:space="0" w:color="auto"/>
        <w:left w:val="none" w:sz="0" w:space="0" w:color="auto"/>
        <w:bottom w:val="none" w:sz="0" w:space="0" w:color="auto"/>
        <w:right w:val="none" w:sz="0" w:space="0" w:color="auto"/>
      </w:divBdr>
    </w:div>
    <w:div w:id="1794981232">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88165733">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pol.int/en/How-we-work/Notices/View-UN-Notices-Individua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sec@govm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ecuritycouncil/content/un-sc-consolidated-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org/securitycouncil/sanctions/1267/aq_sanctions_list" TargetMode="External"/><Relationship Id="rId4" Type="http://schemas.openxmlformats.org/officeDocument/2006/relationships/settings" Target="settings.xml"/><Relationship Id="rId9" Type="http://schemas.openxmlformats.org/officeDocument/2006/relationships/hyperlink" Target="http://www.un.org/securitycouncil/sanctions/1267/aq_sanctions_list/summar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AC20-D93E-4C86-A615-958A28E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Toree</cp:lastModifiedBy>
  <cp:revision>14</cp:revision>
  <cp:lastPrinted>2025-06-17T06:25:00Z</cp:lastPrinted>
  <dcterms:created xsi:type="dcterms:W3CDTF">2025-06-17T04:45:00Z</dcterms:created>
  <dcterms:modified xsi:type="dcterms:W3CDTF">2025-06-17T06:26:00Z</dcterms:modified>
</cp:coreProperties>
</file>